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pPr w:leftFromText="141" w:rightFromText="141" w:vertAnchor="text" w:horzAnchor="margin" w:tblpX="108" w:tblpY="23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DE9D9"/>
        <w:tblLook w:val="04A0" w:firstRow="1" w:lastRow="0" w:firstColumn="1" w:lastColumn="0" w:noHBand="0" w:noVBand="1"/>
      </w:tblPr>
      <w:tblGrid>
        <w:gridCol w:w="9346"/>
      </w:tblGrid>
      <w:tr w:rsidR="00627D75" w:rsidRPr="000E4850" w:rsidTr="0085017D">
        <w:trPr>
          <w:trHeight w:val="465"/>
        </w:trPr>
        <w:tc>
          <w:tcPr>
            <w:tcW w:w="9464" w:type="dxa"/>
            <w:shd w:val="clear" w:color="auto" w:fill="FDE9D9"/>
          </w:tcPr>
          <w:p w:rsidR="00627D75" w:rsidRPr="000E4850" w:rsidRDefault="002715B4" w:rsidP="002715B4">
            <w:pPr>
              <w:pStyle w:val="Nzev"/>
              <w:spacing w:before="120" w:after="120" w:line="240" w:lineRule="auto"/>
              <w:rPr>
                <w:rFonts w:ascii="Arial" w:hAnsi="Arial" w:cs="Arial"/>
                <w:sz w:val="20"/>
                <w:szCs w:val="20"/>
              </w:rPr>
            </w:pPr>
            <w:r w:rsidRPr="000E4850">
              <w:rPr>
                <w:rFonts w:ascii="Arial" w:hAnsi="Arial" w:cs="Arial"/>
                <w:sz w:val="20"/>
                <w:szCs w:val="20"/>
                <w:lang w:val="cs-CZ"/>
              </w:rPr>
              <w:t>Technické podmínky</w:t>
            </w:r>
          </w:p>
        </w:tc>
      </w:tr>
    </w:tbl>
    <w:p w:rsidR="0034703B" w:rsidRPr="000E4850" w:rsidRDefault="0034703B" w:rsidP="007E6FEB">
      <w:pPr>
        <w:tabs>
          <w:tab w:val="left" w:pos="993"/>
        </w:tabs>
        <w:spacing w:before="240" w:after="120"/>
        <w:jc w:val="both"/>
        <w:rPr>
          <w:rFonts w:ascii="Arial" w:hAnsi="Arial" w:cs="Arial"/>
          <w:b/>
          <w:sz w:val="20"/>
          <w:szCs w:val="20"/>
          <w:u w:val="single"/>
        </w:rPr>
      </w:pPr>
    </w:p>
    <w:p w:rsidR="005E65B7" w:rsidRPr="000E4850" w:rsidRDefault="005E65B7" w:rsidP="005E65B7">
      <w:pPr>
        <w:jc w:val="both"/>
        <w:rPr>
          <w:rFonts w:ascii="Arial" w:hAnsi="Arial" w:cs="Arial"/>
          <w:b/>
          <w:sz w:val="20"/>
          <w:szCs w:val="20"/>
          <w:u w:val="single"/>
        </w:rPr>
      </w:pPr>
    </w:p>
    <w:p w:rsidR="000E4850" w:rsidRPr="000E4850" w:rsidRDefault="000E4850" w:rsidP="000E4850">
      <w:pPr>
        <w:tabs>
          <w:tab w:val="left" w:pos="1134"/>
        </w:tabs>
        <w:spacing w:before="240" w:after="240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0E4850">
        <w:rPr>
          <w:rFonts w:ascii="Arial" w:hAnsi="Arial" w:cs="Arial"/>
          <w:b/>
          <w:sz w:val="20"/>
          <w:szCs w:val="20"/>
          <w:u w:val="single"/>
        </w:rPr>
        <w:t xml:space="preserve">Revitalizace </w:t>
      </w:r>
      <w:proofErr w:type="spellStart"/>
      <w:r w:rsidRPr="000E4850">
        <w:rPr>
          <w:rFonts w:ascii="Arial" w:hAnsi="Arial" w:cs="Arial"/>
          <w:b/>
          <w:sz w:val="20"/>
          <w:szCs w:val="20"/>
          <w:u w:val="single"/>
        </w:rPr>
        <w:t>stř</w:t>
      </w:r>
      <w:proofErr w:type="spellEnd"/>
      <w:r w:rsidRPr="000E4850">
        <w:rPr>
          <w:rFonts w:ascii="Arial" w:hAnsi="Arial" w:cs="Arial"/>
          <w:b/>
          <w:sz w:val="20"/>
          <w:szCs w:val="20"/>
          <w:u w:val="single"/>
        </w:rPr>
        <w:t>. Polná - PD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eastAsia="Times New Roman" w:hAnsi="Arial" w:cs="Arial"/>
          <w:bCs/>
          <w:sz w:val="20"/>
          <w:szCs w:val="20"/>
          <w:lang w:eastAsia="cs-CZ"/>
        </w:rPr>
        <w:t>Předmětem plnění je:</w:t>
      </w:r>
    </w:p>
    <w:p w:rsidR="000E4850" w:rsidRPr="000E4850" w:rsidRDefault="000E4850" w:rsidP="000E4850">
      <w:pPr>
        <w:pStyle w:val="Odstavecseseznamem"/>
        <w:numPr>
          <w:ilvl w:val="0"/>
          <w:numId w:val="22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bCs/>
          <w:sz w:val="20"/>
          <w:szCs w:val="20"/>
        </w:rPr>
        <w:t xml:space="preserve">Vypracování projektové dokumentace pro povolení záměru </w:t>
      </w:r>
    </w:p>
    <w:p w:rsidR="000E4850" w:rsidRPr="000E4850" w:rsidRDefault="000E4850" w:rsidP="000E4850">
      <w:pPr>
        <w:pStyle w:val="Odstavecseseznamem"/>
        <w:numPr>
          <w:ilvl w:val="0"/>
          <w:numId w:val="22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bCs/>
          <w:sz w:val="20"/>
          <w:szCs w:val="20"/>
        </w:rPr>
        <w:t>Zajištění všech povolení potřebných k vlastní realizaci kompletních stavebních prací a zajištění kladných vyjádření a stanovisek všech dotčených orgánů pro podání řádných žádostí o vydání povolení záměru k příslušnému stavebnímu úřadu</w:t>
      </w:r>
    </w:p>
    <w:p w:rsidR="000E4850" w:rsidRPr="000E4850" w:rsidRDefault="000E4850" w:rsidP="000E4850">
      <w:pPr>
        <w:pStyle w:val="Odstavecseseznamem"/>
        <w:numPr>
          <w:ilvl w:val="0"/>
          <w:numId w:val="22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bCs/>
          <w:sz w:val="20"/>
          <w:szCs w:val="20"/>
        </w:rPr>
        <w:t>Zajištění povolení záměru</w:t>
      </w:r>
    </w:p>
    <w:p w:rsidR="000E4850" w:rsidRPr="000E4850" w:rsidRDefault="000E4850" w:rsidP="000E4850">
      <w:pPr>
        <w:pStyle w:val="Odstavecseseznamem"/>
        <w:numPr>
          <w:ilvl w:val="0"/>
          <w:numId w:val="22"/>
        </w:num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bCs/>
          <w:sz w:val="20"/>
          <w:szCs w:val="20"/>
        </w:rPr>
        <w:t>Vypracování projektové dokumentace pro provádění stavby (PDPS) včetně oceněného a neoceněného soupisu prací</w:t>
      </w:r>
    </w:p>
    <w:p w:rsidR="000E4850" w:rsidRPr="000E4850" w:rsidRDefault="000E4850" w:rsidP="000E4850">
      <w:pPr>
        <w:pStyle w:val="Odstavecseseznamem"/>
        <w:numPr>
          <w:ilvl w:val="0"/>
          <w:numId w:val="22"/>
        </w:num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bCs/>
          <w:sz w:val="20"/>
          <w:szCs w:val="20"/>
        </w:rPr>
        <w:t>Výkon dozoru projektanta při realizaci stavby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hAnsi="Arial" w:cs="Arial"/>
          <w:bCs/>
          <w:sz w:val="20"/>
          <w:szCs w:val="20"/>
        </w:rPr>
      </w:pPr>
    </w:p>
    <w:p w:rsidR="000E4850" w:rsidRPr="000E4850" w:rsidRDefault="000E4850" w:rsidP="000E4850">
      <w:pPr>
        <w:pStyle w:val="Default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PD bude zpracována v souladu s podmínkami a pravidly OPŽP 2021 – 2027, Specifický cíl </w:t>
      </w:r>
      <w:proofErr w:type="gramStart"/>
      <w:r w:rsidRPr="000E4850">
        <w:rPr>
          <w:bCs/>
          <w:color w:val="auto"/>
          <w:sz w:val="20"/>
          <w:szCs w:val="20"/>
          <w:lang w:eastAsia="en-US"/>
        </w:rPr>
        <w:t>1.1., resp.</w:t>
      </w:r>
      <w:proofErr w:type="gramEnd"/>
      <w:r w:rsidRPr="000E4850">
        <w:rPr>
          <w:bCs/>
          <w:color w:val="auto"/>
          <w:sz w:val="20"/>
          <w:szCs w:val="20"/>
          <w:lang w:eastAsia="en-US"/>
        </w:rPr>
        <w:t xml:space="preserve"> 1.2. dle znění 38. výzvy, či případných výzev navazujících, které by vyžadovaly případně aktualizaci PD.</w:t>
      </w:r>
    </w:p>
    <w:p w:rsidR="000E4850" w:rsidRPr="000E4850" w:rsidRDefault="000E4850" w:rsidP="000E4850">
      <w:pPr>
        <w:pStyle w:val="Default"/>
        <w:rPr>
          <w:b/>
          <w:bCs/>
          <w:color w:val="FF0000"/>
          <w:sz w:val="20"/>
          <w:szCs w:val="20"/>
        </w:rPr>
      </w:pPr>
    </w:p>
    <w:p w:rsidR="000E4850" w:rsidRPr="000E4850" w:rsidRDefault="000E4850" w:rsidP="000E4850">
      <w:pPr>
        <w:pStyle w:val="Default"/>
        <w:rPr>
          <w:b/>
          <w:bCs/>
          <w:color w:val="auto"/>
          <w:sz w:val="20"/>
          <w:szCs w:val="20"/>
          <w:lang w:eastAsia="en-US"/>
        </w:rPr>
      </w:pPr>
      <w:r w:rsidRPr="000E4850">
        <w:rPr>
          <w:b/>
          <w:bCs/>
          <w:color w:val="auto"/>
          <w:sz w:val="20"/>
          <w:szCs w:val="20"/>
          <w:lang w:eastAsia="en-US"/>
        </w:rPr>
        <w:t xml:space="preserve">Popis podporovaných aktivit v opatření 1.1.1 – Snížení energetické náročnosti veřejných budov a veřejné infrastruktury </w:t>
      </w:r>
    </w:p>
    <w:p w:rsidR="000E4850" w:rsidRPr="000E4850" w:rsidRDefault="000E4850" w:rsidP="000E4850">
      <w:pPr>
        <w:pStyle w:val="Default"/>
        <w:rPr>
          <w:bCs/>
          <w:color w:val="auto"/>
          <w:sz w:val="20"/>
          <w:szCs w:val="20"/>
          <w:lang w:eastAsia="en-US"/>
        </w:rPr>
      </w:pPr>
    </w:p>
    <w:p w:rsidR="000E4850" w:rsidRPr="000E4850" w:rsidRDefault="000E4850" w:rsidP="000E4850">
      <w:pPr>
        <w:pStyle w:val="Default"/>
        <w:numPr>
          <w:ilvl w:val="0"/>
          <w:numId w:val="28"/>
        </w:numPr>
        <w:adjustRightInd/>
        <w:spacing w:after="175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Komplexní, či návazné stavební úpravy budov vedoucí ke zlepšení tepelně technických vlastností obvodových konstrukcí budovy. </w:t>
      </w:r>
    </w:p>
    <w:p w:rsidR="000E4850" w:rsidRPr="000E4850" w:rsidRDefault="000E4850" w:rsidP="000E4850">
      <w:pPr>
        <w:pStyle w:val="Default"/>
        <w:numPr>
          <w:ilvl w:val="0"/>
          <w:numId w:val="28"/>
        </w:numPr>
        <w:adjustRightInd/>
        <w:spacing w:after="175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Systémy využívající odpadní teplo. </w:t>
      </w:r>
    </w:p>
    <w:p w:rsidR="000E4850" w:rsidRPr="000E4850" w:rsidRDefault="000E4850" w:rsidP="000E4850">
      <w:pPr>
        <w:pStyle w:val="Default"/>
        <w:numPr>
          <w:ilvl w:val="0"/>
          <w:numId w:val="28"/>
        </w:numPr>
        <w:adjustRightInd/>
        <w:spacing w:after="175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Systémy nuceného větrání s rekuperací odpadního tepla. </w:t>
      </w:r>
    </w:p>
    <w:p w:rsidR="000E4850" w:rsidRPr="000E4850" w:rsidRDefault="000E4850" w:rsidP="000E4850">
      <w:pPr>
        <w:pStyle w:val="Default"/>
        <w:numPr>
          <w:ilvl w:val="0"/>
          <w:numId w:val="28"/>
        </w:numPr>
        <w:adjustRightInd/>
        <w:spacing w:after="175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Rekonstrukce otopné soustavy. </w:t>
      </w:r>
    </w:p>
    <w:p w:rsidR="000E4850" w:rsidRPr="000E4850" w:rsidRDefault="000E4850" w:rsidP="000E4850">
      <w:pPr>
        <w:pStyle w:val="Default"/>
        <w:adjustRightInd/>
        <w:spacing w:after="175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Ostatní opatření vedoucí ke snížení energetické náročnosti budovy ve všech aspektech jejího provozu např.: zavedení energetického managementu, včetně řídícího softwaru a měřících a řídících prvků pro optimalizaci výroby a spotřeby energie; rekonstrukce předávacích stanic tepla; rekonstrukce teplovodních rozvodů s jednou centrální kotelnou. </w:t>
      </w:r>
    </w:p>
    <w:p w:rsidR="000E4850" w:rsidRPr="000E4850" w:rsidRDefault="000E4850" w:rsidP="000E4850">
      <w:pPr>
        <w:pStyle w:val="Default"/>
        <w:numPr>
          <w:ilvl w:val="1"/>
          <w:numId w:val="28"/>
        </w:numPr>
        <w:adjustRightInd/>
        <w:rPr>
          <w:color w:val="FF0000"/>
          <w:sz w:val="20"/>
          <w:szCs w:val="20"/>
        </w:rPr>
      </w:pPr>
    </w:p>
    <w:p w:rsidR="000E4850" w:rsidRPr="000E4850" w:rsidRDefault="000E4850" w:rsidP="000E4850">
      <w:pPr>
        <w:pStyle w:val="Default"/>
        <w:rPr>
          <w:b/>
          <w:bCs/>
          <w:color w:val="auto"/>
          <w:sz w:val="20"/>
          <w:szCs w:val="20"/>
          <w:lang w:eastAsia="en-US"/>
        </w:rPr>
      </w:pPr>
      <w:r w:rsidRPr="000E4850">
        <w:rPr>
          <w:b/>
          <w:bCs/>
          <w:color w:val="auto"/>
          <w:sz w:val="20"/>
          <w:szCs w:val="20"/>
          <w:lang w:eastAsia="en-US"/>
        </w:rPr>
        <w:t xml:space="preserve">Popis podporovaných aktivit v opatření </w:t>
      </w:r>
      <w:proofErr w:type="gramStart"/>
      <w:r w:rsidRPr="000E4850">
        <w:rPr>
          <w:b/>
          <w:bCs/>
          <w:color w:val="auto"/>
          <w:sz w:val="20"/>
          <w:szCs w:val="20"/>
          <w:lang w:eastAsia="en-US"/>
        </w:rPr>
        <w:t>1.1.32</w:t>
      </w:r>
      <w:proofErr w:type="gramEnd"/>
      <w:r w:rsidRPr="000E4850">
        <w:rPr>
          <w:b/>
          <w:bCs/>
          <w:color w:val="auto"/>
          <w:sz w:val="20"/>
          <w:szCs w:val="20"/>
          <w:lang w:eastAsia="en-US"/>
        </w:rPr>
        <w:t xml:space="preserve"> – Zlepšení kvality vnitřního prostředí veřejných budov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Modernizace vnitřního osvětlení.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Opatření k eliminaci negativních akustických jevů.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Vnější stínící prvky. </w:t>
      </w:r>
    </w:p>
    <w:p w:rsidR="000E4850" w:rsidRPr="000E4850" w:rsidRDefault="000E4850" w:rsidP="000E4850">
      <w:pPr>
        <w:pStyle w:val="Default"/>
        <w:rPr>
          <w:color w:val="FF0000"/>
          <w:sz w:val="20"/>
          <w:szCs w:val="20"/>
        </w:rPr>
      </w:pPr>
    </w:p>
    <w:p w:rsidR="000E4850" w:rsidRPr="000E4850" w:rsidRDefault="000E4850" w:rsidP="000E4850">
      <w:pPr>
        <w:pStyle w:val="Default"/>
        <w:rPr>
          <w:b/>
          <w:bCs/>
          <w:color w:val="auto"/>
          <w:sz w:val="20"/>
          <w:szCs w:val="20"/>
          <w:lang w:eastAsia="en-US"/>
        </w:rPr>
      </w:pPr>
      <w:r w:rsidRPr="000E4850">
        <w:rPr>
          <w:b/>
          <w:bCs/>
          <w:color w:val="auto"/>
          <w:sz w:val="20"/>
          <w:szCs w:val="20"/>
          <w:lang w:eastAsia="en-US"/>
        </w:rPr>
        <w:t xml:space="preserve">Popis podporovaných aktivit v opatření </w:t>
      </w:r>
      <w:proofErr w:type="gramStart"/>
      <w:r w:rsidRPr="000E4850">
        <w:rPr>
          <w:b/>
          <w:bCs/>
          <w:color w:val="auto"/>
          <w:sz w:val="20"/>
          <w:szCs w:val="20"/>
          <w:lang w:eastAsia="en-US"/>
        </w:rPr>
        <w:t>1.1.43</w:t>
      </w:r>
      <w:proofErr w:type="gramEnd"/>
      <w:r w:rsidRPr="000E4850">
        <w:rPr>
          <w:b/>
          <w:bCs/>
          <w:color w:val="auto"/>
          <w:sz w:val="20"/>
          <w:szCs w:val="20"/>
          <w:lang w:eastAsia="en-US"/>
        </w:rPr>
        <w:t xml:space="preserve"> – Zvýšení adaptability veřejných budov na změnu klimatu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Technologie pro akumulaci, úpravu a rozvod šedých a srážkových vod v budovách za účelem splachování, zálivky, praní a dalších relevantních užití. </w:t>
      </w:r>
    </w:p>
    <w:p w:rsidR="000E4850" w:rsidRPr="000E4850" w:rsidRDefault="000E4850" w:rsidP="000E4850">
      <w:pPr>
        <w:pStyle w:val="Default"/>
        <w:adjustRightInd/>
        <w:rPr>
          <w:color w:val="FF0000"/>
          <w:sz w:val="20"/>
          <w:szCs w:val="20"/>
        </w:rPr>
      </w:pPr>
    </w:p>
    <w:p w:rsidR="000E4850" w:rsidRPr="000E4850" w:rsidRDefault="000E4850" w:rsidP="000E4850">
      <w:pPr>
        <w:pStyle w:val="Default"/>
        <w:rPr>
          <w:b/>
          <w:bCs/>
          <w:color w:val="auto"/>
          <w:sz w:val="20"/>
          <w:szCs w:val="20"/>
          <w:lang w:eastAsia="en-US"/>
        </w:rPr>
      </w:pPr>
      <w:r w:rsidRPr="000E4850">
        <w:rPr>
          <w:b/>
          <w:bCs/>
          <w:color w:val="auto"/>
          <w:sz w:val="20"/>
          <w:szCs w:val="20"/>
          <w:lang w:eastAsia="en-US"/>
        </w:rPr>
        <w:t xml:space="preserve">Popis podporovaných aktivit v opatření </w:t>
      </w:r>
      <w:proofErr w:type="gramStart"/>
      <w:r w:rsidRPr="000E4850">
        <w:rPr>
          <w:b/>
          <w:bCs/>
          <w:color w:val="auto"/>
          <w:sz w:val="20"/>
          <w:szCs w:val="20"/>
          <w:lang w:eastAsia="en-US"/>
        </w:rPr>
        <w:t>1.2.14</w:t>
      </w:r>
      <w:proofErr w:type="gramEnd"/>
      <w:r w:rsidRPr="000E4850">
        <w:rPr>
          <w:b/>
          <w:bCs/>
          <w:color w:val="auto"/>
          <w:sz w:val="20"/>
          <w:szCs w:val="20"/>
          <w:lang w:eastAsia="en-US"/>
        </w:rPr>
        <w:t xml:space="preserve"> – Výstavba a rekonstrukce obnovitelných zdrojů energie pro veřejné budovy </w:t>
      </w:r>
    </w:p>
    <w:p w:rsid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Výměna zdroje pro vytápění, chlazení nebo přípravu teplé vody využívajícího fosilní paliva nebo elektrickou energii za: tepelné čerpadlo, kotel na biomasu, zařízení pro kombinovanou výrobu elektřiny a tepla či chladu využívající OZE (obnovitelné zdroje energie). </w:t>
      </w:r>
    </w:p>
    <w:p w:rsidR="000E4850" w:rsidRPr="000E4850" w:rsidRDefault="000E4850" w:rsidP="000E4850">
      <w:pPr>
        <w:pStyle w:val="Default"/>
        <w:adjustRightInd/>
        <w:spacing w:after="83"/>
        <w:rPr>
          <w:bCs/>
          <w:color w:val="auto"/>
          <w:sz w:val="20"/>
          <w:szCs w:val="20"/>
          <w:lang w:eastAsia="en-US"/>
        </w:rPr>
      </w:pPr>
    </w:p>
    <w:p w:rsidR="000E4850" w:rsidRPr="000E4850" w:rsidRDefault="000E4850" w:rsidP="000E4850">
      <w:pPr>
        <w:pStyle w:val="Default"/>
        <w:rPr>
          <w:color w:val="FF0000"/>
          <w:sz w:val="20"/>
          <w:szCs w:val="20"/>
        </w:rPr>
      </w:pPr>
    </w:p>
    <w:p w:rsidR="000E4850" w:rsidRPr="000E4850" w:rsidRDefault="000E4850" w:rsidP="000E4850">
      <w:pPr>
        <w:pStyle w:val="Default"/>
        <w:adjustRightInd/>
        <w:spacing w:after="83"/>
        <w:rPr>
          <w:b/>
          <w:bCs/>
          <w:color w:val="auto"/>
          <w:sz w:val="20"/>
          <w:szCs w:val="20"/>
          <w:lang w:eastAsia="en-US"/>
        </w:rPr>
      </w:pPr>
      <w:r w:rsidRPr="000E4850">
        <w:rPr>
          <w:b/>
          <w:bCs/>
          <w:color w:val="auto"/>
          <w:sz w:val="20"/>
          <w:szCs w:val="20"/>
          <w:lang w:eastAsia="en-US"/>
        </w:rPr>
        <w:lastRenderedPageBreak/>
        <w:t xml:space="preserve">Součástí projektu může být i rekonstrukce otopné soustavy.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Instalace solárně – termických systémů.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Instalace </w:t>
      </w:r>
      <w:proofErr w:type="spellStart"/>
      <w:r w:rsidRPr="000E4850">
        <w:rPr>
          <w:bCs/>
          <w:color w:val="auto"/>
          <w:sz w:val="20"/>
          <w:szCs w:val="20"/>
          <w:lang w:eastAsia="en-US"/>
        </w:rPr>
        <w:t>fotovoltaických</w:t>
      </w:r>
      <w:proofErr w:type="spellEnd"/>
      <w:r w:rsidRPr="000E4850">
        <w:rPr>
          <w:bCs/>
          <w:color w:val="auto"/>
          <w:sz w:val="20"/>
          <w:szCs w:val="20"/>
          <w:lang w:eastAsia="en-US"/>
        </w:rPr>
        <w:t xml:space="preserve"> systémů.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Rekonstrukce, či výměna stávajícího OZE za OZE.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 xml:space="preserve">Zavedení energetického managementu včetně řídícího softwaru a měřících a řídících prvků pro optimalizaci výroby a spotřeby energie. </w:t>
      </w:r>
    </w:p>
    <w:p w:rsidR="000E4850" w:rsidRPr="000E4850" w:rsidRDefault="000E4850" w:rsidP="000E4850">
      <w:pPr>
        <w:pStyle w:val="Default"/>
        <w:adjustRightInd/>
        <w:rPr>
          <w:color w:val="FF0000"/>
          <w:sz w:val="20"/>
          <w:szCs w:val="20"/>
        </w:rPr>
      </w:pPr>
    </w:p>
    <w:p w:rsidR="000E4850" w:rsidRPr="000E4850" w:rsidRDefault="000E4850" w:rsidP="000E4850">
      <w:pPr>
        <w:pStyle w:val="Default"/>
        <w:rPr>
          <w:b/>
          <w:bCs/>
          <w:color w:val="auto"/>
          <w:sz w:val="20"/>
          <w:szCs w:val="20"/>
          <w:lang w:eastAsia="en-US"/>
        </w:rPr>
      </w:pPr>
      <w:r w:rsidRPr="000E4850">
        <w:rPr>
          <w:b/>
          <w:bCs/>
          <w:color w:val="auto"/>
          <w:sz w:val="20"/>
          <w:szCs w:val="20"/>
          <w:lang w:eastAsia="en-US"/>
        </w:rPr>
        <w:t xml:space="preserve">Určení výše podpory: </w:t>
      </w:r>
    </w:p>
    <w:p w:rsidR="000E4850" w:rsidRPr="000E4850" w:rsidRDefault="000E4850" w:rsidP="000E4850">
      <w:pPr>
        <w:pStyle w:val="Default"/>
        <w:numPr>
          <w:ilvl w:val="0"/>
          <w:numId w:val="29"/>
        </w:numPr>
        <w:adjustRightInd/>
        <w:spacing w:after="83"/>
        <w:rPr>
          <w:bCs/>
          <w:color w:val="auto"/>
          <w:sz w:val="20"/>
          <w:szCs w:val="20"/>
          <w:lang w:eastAsia="en-US"/>
        </w:rPr>
      </w:pPr>
      <w:r w:rsidRPr="000E4850">
        <w:rPr>
          <w:bCs/>
          <w:color w:val="auto"/>
          <w:sz w:val="20"/>
          <w:szCs w:val="20"/>
          <w:lang w:eastAsia="en-US"/>
        </w:rPr>
        <w:t>Detailní informace o výši podpory jsou uvedeny v Pravidlech pro žadatele a příjemce podpory v OPŽP pro období 2021–2027, resp. Výpočtovým nástrojem, který je nedílnou součástí výzvy.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before="120" w:after="120" w:line="240" w:lineRule="auto"/>
        <w:jc w:val="both"/>
        <w:textAlignment w:val="baseline"/>
        <w:rPr>
          <w:rFonts w:ascii="Arial" w:eastAsia="Times New Roman" w:hAnsi="Arial" w:cs="Arial"/>
          <w:bCs/>
          <w:sz w:val="20"/>
          <w:szCs w:val="20"/>
          <w:highlight w:val="yellow"/>
          <w:lang w:eastAsia="cs-CZ"/>
        </w:rPr>
      </w:pP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  <w:highlight w:val="yellow"/>
        </w:rPr>
      </w:pPr>
      <w:r w:rsidRPr="000E4850">
        <w:rPr>
          <w:rFonts w:ascii="Arial" w:hAnsi="Arial" w:cs="Arial"/>
          <w:bCs/>
          <w:sz w:val="20"/>
          <w:szCs w:val="20"/>
        </w:rPr>
        <w:t xml:space="preserve">Pozemek KSÚSV se nachází na adrese: </w:t>
      </w:r>
      <w:r w:rsidRPr="000E4850">
        <w:rPr>
          <w:rFonts w:ascii="Arial" w:hAnsi="Arial" w:cs="Arial"/>
          <w:color w:val="000000"/>
          <w:sz w:val="20"/>
          <w:szCs w:val="20"/>
          <w:shd w:val="clear" w:color="auto" w:fill="FFFFFF"/>
        </w:rPr>
        <w:t>Malá cihelna 1146, 58813 Polná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bCs/>
          <w:sz w:val="20"/>
          <w:szCs w:val="20"/>
        </w:rPr>
        <w:t xml:space="preserve">Pozemek má </w:t>
      </w:r>
      <w:proofErr w:type="spellStart"/>
      <w:r w:rsidRPr="000E4850">
        <w:rPr>
          <w:rFonts w:ascii="Arial" w:hAnsi="Arial" w:cs="Arial"/>
          <w:bCs/>
          <w:sz w:val="20"/>
          <w:szCs w:val="20"/>
        </w:rPr>
        <w:t>parc</w:t>
      </w:r>
      <w:proofErr w:type="spellEnd"/>
      <w:r w:rsidRPr="000E4850">
        <w:rPr>
          <w:rFonts w:ascii="Arial" w:hAnsi="Arial" w:cs="Arial"/>
          <w:bCs/>
          <w:sz w:val="20"/>
          <w:szCs w:val="20"/>
        </w:rPr>
        <w:t xml:space="preserve">. </w:t>
      </w:r>
      <w:proofErr w:type="gramStart"/>
      <w:r w:rsidRPr="000E4850">
        <w:rPr>
          <w:rFonts w:ascii="Arial" w:hAnsi="Arial" w:cs="Arial"/>
          <w:bCs/>
          <w:sz w:val="20"/>
          <w:szCs w:val="20"/>
        </w:rPr>
        <w:t>č.</w:t>
      </w:r>
      <w:proofErr w:type="gramEnd"/>
      <w:r w:rsidRPr="000E4850">
        <w:rPr>
          <w:rFonts w:ascii="Arial" w:hAnsi="Arial" w:cs="Arial"/>
          <w:bCs/>
          <w:sz w:val="20"/>
          <w:szCs w:val="20"/>
        </w:rPr>
        <w:t>: 2111/90 o výměře 6311 m</w:t>
      </w:r>
      <w:r w:rsidRPr="000E4850">
        <w:rPr>
          <w:rFonts w:ascii="Arial" w:hAnsi="Arial" w:cs="Arial"/>
          <w:bCs/>
          <w:sz w:val="20"/>
          <w:szCs w:val="20"/>
          <w:vertAlign w:val="superscript"/>
        </w:rPr>
        <w:t xml:space="preserve">2 </w:t>
      </w:r>
      <w:r w:rsidRPr="000E4850">
        <w:rPr>
          <w:rFonts w:ascii="Arial" w:hAnsi="Arial" w:cs="Arial"/>
          <w:bCs/>
          <w:sz w:val="20"/>
          <w:szCs w:val="20"/>
        </w:rPr>
        <w:t xml:space="preserve">, budova </w:t>
      </w:r>
      <w:proofErr w:type="spellStart"/>
      <w:r w:rsidRPr="000E4850">
        <w:rPr>
          <w:rFonts w:ascii="Arial" w:hAnsi="Arial" w:cs="Arial"/>
          <w:bCs/>
          <w:sz w:val="20"/>
          <w:szCs w:val="20"/>
        </w:rPr>
        <w:t>parc</w:t>
      </w:r>
      <w:proofErr w:type="spellEnd"/>
      <w:r w:rsidRPr="000E4850">
        <w:rPr>
          <w:rFonts w:ascii="Arial" w:hAnsi="Arial" w:cs="Arial"/>
          <w:bCs/>
          <w:sz w:val="20"/>
          <w:szCs w:val="20"/>
        </w:rPr>
        <w:t>. č.: 1746, o výměře 590 m</w:t>
      </w:r>
      <w:r w:rsidRPr="000E4850">
        <w:rPr>
          <w:rFonts w:ascii="Arial" w:hAnsi="Arial" w:cs="Arial"/>
          <w:bCs/>
          <w:sz w:val="20"/>
          <w:szCs w:val="20"/>
          <w:vertAlign w:val="superscript"/>
        </w:rPr>
        <w:t>2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  <w:vertAlign w:val="superscript"/>
        </w:rPr>
      </w:pPr>
      <w:r w:rsidRPr="000E4850">
        <w:rPr>
          <w:rFonts w:ascii="Arial" w:hAnsi="Arial" w:cs="Arial"/>
          <w:bCs/>
          <w:noProof/>
          <w:sz w:val="20"/>
          <w:szCs w:val="20"/>
          <w:vertAlign w:val="superscript"/>
          <w:lang w:eastAsia="cs-CZ"/>
        </w:rPr>
        <w:drawing>
          <wp:inline distT="0" distB="0" distL="0" distR="0" wp14:anchorId="4E2CB3EE" wp14:editId="23FF7E44">
            <wp:extent cx="3093720" cy="324274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096470" cy="3245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  <w:highlight w:val="yellow"/>
        </w:rPr>
      </w:pP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bCs/>
          <w:sz w:val="20"/>
          <w:szCs w:val="20"/>
          <w:highlight w:val="yellow"/>
        </w:rPr>
      </w:pP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  <w:r w:rsidRPr="000E4850">
        <w:rPr>
          <w:rFonts w:ascii="Arial" w:hAnsi="Arial" w:cs="Arial"/>
          <w:b/>
          <w:sz w:val="20"/>
          <w:szCs w:val="20"/>
          <w:u w:val="single"/>
        </w:rPr>
        <w:t>Požadavky objednatele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  Zateplení fasády budovy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  Zateplení střešního pláště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  Výměna oken a vstupních dveří 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  Výměna garážových vrat (sekční nebo rolovací), součástí vrat by měly být dveře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  Návrh nového zdroje vytápění – preferuje se vytápění plynem, zvážit ale i tepelné čerpadlo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  Posouzení stávajícího osvětlovacího systému – případně návrh osvětlení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  Návrh retenčních nádrží na dešťovou vodu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  Návrh automatické pojezdové brány pro hlavní vjezd do areálu</w:t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1B9BB126" wp14:editId="3EE7CC5B">
            <wp:extent cx="4754880" cy="3882209"/>
            <wp:effectExtent l="0" t="0" r="7620" b="444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2386" cy="38883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850" w:rsidRPr="000E4850" w:rsidRDefault="000E4850" w:rsidP="000E4850">
      <w:pPr>
        <w:pStyle w:val="Normlnweb"/>
        <w:spacing w:before="0" w:beforeAutospacing="0" w:after="0" w:afterAutospacing="0"/>
        <w:rPr>
          <w:rFonts w:ascii="Arial" w:hAnsi="Arial" w:cs="Arial"/>
          <w:sz w:val="20"/>
          <w:szCs w:val="20"/>
        </w:rPr>
      </w:pPr>
    </w:p>
    <w:p w:rsidR="000E4850" w:rsidRPr="000E4850" w:rsidRDefault="000E4850" w:rsidP="000E4850">
      <w:pPr>
        <w:spacing w:after="0"/>
        <w:rPr>
          <w:rFonts w:ascii="Arial" w:hAnsi="Arial" w:cs="Arial"/>
          <w:bCs/>
          <w:sz w:val="20"/>
          <w:szCs w:val="20"/>
          <w:highlight w:val="yellow"/>
        </w:rPr>
      </w:pPr>
      <w:r w:rsidRPr="000E4850">
        <w:rPr>
          <w:rFonts w:ascii="Arial" w:hAnsi="Arial" w:cs="Arial"/>
          <w:bCs/>
          <w:noProof/>
          <w:sz w:val="20"/>
          <w:szCs w:val="20"/>
          <w:lang w:eastAsia="cs-CZ"/>
        </w:rPr>
        <w:drawing>
          <wp:inline distT="0" distB="0" distL="0" distR="0" wp14:anchorId="5D9798D2" wp14:editId="1BCEA15C">
            <wp:extent cx="4782709" cy="3333451"/>
            <wp:effectExtent l="0" t="0" r="0" b="63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787992" cy="33371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E4850" w:rsidRPr="000E4850" w:rsidRDefault="000E4850" w:rsidP="000E4850">
      <w:pPr>
        <w:spacing w:after="0"/>
        <w:rPr>
          <w:rFonts w:ascii="Arial" w:hAnsi="Arial" w:cs="Arial"/>
          <w:bCs/>
          <w:sz w:val="20"/>
          <w:szCs w:val="20"/>
          <w:highlight w:val="yellow"/>
        </w:rPr>
      </w:pP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</w:p>
    <w:p w:rsid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</w:p>
    <w:p w:rsid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</w:p>
    <w:p w:rsid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  <w:r w:rsidRPr="000E4850">
        <w:rPr>
          <w:rFonts w:ascii="Arial" w:hAnsi="Arial" w:cs="Arial"/>
          <w:b/>
          <w:sz w:val="20"/>
          <w:szCs w:val="20"/>
          <w:u w:val="single"/>
        </w:rPr>
        <w:lastRenderedPageBreak/>
        <w:t>Technické podmínky</w:t>
      </w:r>
    </w:p>
    <w:p w:rsidR="000E4850" w:rsidRPr="000E4850" w:rsidRDefault="000E4850" w:rsidP="000E4850">
      <w:pPr>
        <w:spacing w:after="120" w:line="240" w:lineRule="auto"/>
        <w:jc w:val="both"/>
        <w:rPr>
          <w:rFonts w:ascii="Arial" w:hAnsi="Arial" w:cs="Arial"/>
          <w:b/>
          <w:sz w:val="20"/>
          <w:szCs w:val="20"/>
          <w:u w:val="single"/>
        </w:rPr>
      </w:pPr>
      <w:r w:rsidRPr="000E4850">
        <w:rPr>
          <w:rFonts w:ascii="Arial" w:hAnsi="Arial" w:cs="Arial"/>
          <w:b/>
          <w:sz w:val="20"/>
          <w:szCs w:val="20"/>
          <w:u w:val="single"/>
        </w:rPr>
        <w:t>Vypracování dokumentace pro povolení záměru v souladu s § 157 odst. (2) Stavebního zákona 283/2021</w:t>
      </w:r>
    </w:p>
    <w:p w:rsidR="000E4850" w:rsidRPr="000E4850" w:rsidRDefault="000E4850" w:rsidP="000E4850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highlight w:val="yellow"/>
          <w:lang w:eastAsia="cs-CZ"/>
        </w:rPr>
      </w:pPr>
      <w:r w:rsidRPr="000E4850">
        <w:rPr>
          <w:rFonts w:ascii="Arial" w:hAnsi="Arial" w:cs="Arial"/>
          <w:sz w:val="20"/>
          <w:szCs w:val="20"/>
        </w:rPr>
        <w:t xml:space="preserve">Rozsah a obsah dokumentace je stanoven </w:t>
      </w:r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ke dni 30. 6. 2027, Zákonem č. 283/2021 Sb. - Stavební zákon, Zákonem č. 284/2021 Sb. - Zákon, kterým se mění některé zákony v souvislosti s přijetím stavebního zákona, Zákonem č. 195/2022 Sb. - Zákon, kterým se mění zákon č. 283/2021 Sb., stavební </w:t>
      </w:r>
      <w:proofErr w:type="gramStart"/>
      <w:r w:rsidRPr="000E4850">
        <w:rPr>
          <w:rFonts w:ascii="Arial" w:eastAsia="Times New Roman" w:hAnsi="Arial" w:cs="Arial"/>
          <w:sz w:val="20"/>
          <w:szCs w:val="20"/>
          <w:lang w:eastAsia="cs-CZ"/>
        </w:rPr>
        <w:t>zákon,  Zákonem</w:t>
      </w:r>
      <w:proofErr w:type="gramEnd"/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 č. 152/2023 Sb. - Zákon, kterým se mění zákon č. 283/2021 Sb., stavební zákon, ve znění zákona č. 195/2022 Sb., a některé další související zákony, vyhláškou č. 131/2024 Sb. - o rozsahu a obsahu projektové dokumentace staveb a vyhláška č. 169/2016 Sb., o stanovení rozsahu dokumentace veřejné zakázky na stavební práce a soupisu stavebních prací, dodávek a služeb s výkazem výměr, Zákon č. 541/2020 Sb. - Zákon o odpadech, Zákon č. 318/2025 </w:t>
      </w:r>
      <w:proofErr w:type="spellStart"/>
      <w:proofErr w:type="gramStart"/>
      <w:r w:rsidRPr="000E4850">
        <w:rPr>
          <w:rFonts w:ascii="Arial" w:eastAsia="Times New Roman" w:hAnsi="Arial" w:cs="Arial"/>
          <w:sz w:val="20"/>
          <w:szCs w:val="20"/>
          <w:lang w:eastAsia="cs-CZ"/>
        </w:rPr>
        <w:t>Sb.Zákon</w:t>
      </w:r>
      <w:proofErr w:type="spellEnd"/>
      <w:proofErr w:type="gramEnd"/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, kterým se mění zákon č. 309/2006 Sb., kterým se upravují další požadavky bezpečnosti a ochrany zdraví při práci v pracovněprávních vztazích a o zajištění bezpečnosti a ochrany zdraví při činnosti nebo poskytování služeb mimo pracovněprávní vztahy (zákon o zajištění dalších podmínek bezpečnosti a ochrany zdraví při práci), ve znění pozdějších předpisů, a další související zákony, Nařízení vlády č. 319/2025 Sb. Nařízení vlády, kterým se mění nařízení vlády č. 591/2006 Sb., o bližších minimálních požadavcích na bezpečnost a ochranu zdraví při práci na staveništích, ve znění nařízení vlády č. 136/2016 </w:t>
      </w:r>
      <w:proofErr w:type="spellStart"/>
      <w:proofErr w:type="gramStart"/>
      <w:r w:rsidRPr="000E4850">
        <w:rPr>
          <w:rFonts w:ascii="Arial" w:eastAsia="Times New Roman" w:hAnsi="Arial" w:cs="Arial"/>
          <w:sz w:val="20"/>
          <w:szCs w:val="20"/>
          <w:lang w:eastAsia="cs-CZ"/>
        </w:rPr>
        <w:t>Sb.,vše</w:t>
      </w:r>
      <w:proofErr w:type="spellEnd"/>
      <w:proofErr w:type="gramEnd"/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 v platném znění a bude obsahovat skladbu PD v souladu a rozsahu vyhlášky 131/2024 a dále:</w:t>
      </w:r>
    </w:p>
    <w:p w:rsidR="000E4850" w:rsidRPr="000E4850" w:rsidRDefault="001D717D" w:rsidP="00883F6F">
      <w:pPr>
        <w:pStyle w:val="Odstavecseseznamem"/>
        <w:numPr>
          <w:ilvl w:val="0"/>
          <w:numId w:val="21"/>
        </w:numPr>
        <w:overflowPunct w:val="0"/>
        <w:autoSpaceDE w:val="0"/>
        <w:autoSpaceDN w:val="0"/>
        <w:adjustRightInd w:val="0"/>
        <w:spacing w:after="0"/>
        <w:ind w:left="567" w:hanging="141"/>
        <w:jc w:val="both"/>
        <w:textAlignment w:val="baseline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 </w:t>
      </w:r>
      <w:r w:rsidR="000E4850" w:rsidRPr="000E4850">
        <w:rPr>
          <w:rFonts w:ascii="Arial" w:hAnsi="Arial" w:cs="Arial"/>
          <w:sz w:val="20"/>
          <w:szCs w:val="20"/>
        </w:rPr>
        <w:t>Odhad stavebních nákladů</w:t>
      </w:r>
    </w:p>
    <w:p w:rsidR="000E4850" w:rsidRPr="000E4850" w:rsidRDefault="00883F6F" w:rsidP="00883F6F">
      <w:pPr>
        <w:overflowPunct w:val="0"/>
        <w:autoSpaceDE w:val="0"/>
        <w:autoSpaceDN w:val="0"/>
        <w:adjustRightInd w:val="0"/>
        <w:spacing w:after="0"/>
        <w:ind w:left="142" w:firstLine="284"/>
        <w:jc w:val="both"/>
        <w:textAlignment w:val="baseline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-    </w:t>
      </w:r>
      <w:r w:rsidR="000E4850" w:rsidRPr="000E4850">
        <w:rPr>
          <w:rFonts w:ascii="Arial" w:hAnsi="Arial" w:cs="Arial"/>
          <w:sz w:val="20"/>
          <w:szCs w:val="20"/>
        </w:rPr>
        <w:t xml:space="preserve">Vyřešení nakládání s odpady </w:t>
      </w:r>
      <w:proofErr w:type="gramStart"/>
      <w:r w:rsidR="000E4850" w:rsidRPr="000E4850">
        <w:rPr>
          <w:rFonts w:ascii="Arial" w:hAnsi="Arial" w:cs="Arial"/>
          <w:sz w:val="20"/>
          <w:szCs w:val="20"/>
        </w:rPr>
        <w:t>dle  Zákona</w:t>
      </w:r>
      <w:proofErr w:type="gramEnd"/>
      <w:r w:rsidR="000E4850" w:rsidRPr="000E4850">
        <w:rPr>
          <w:rFonts w:ascii="Arial" w:hAnsi="Arial" w:cs="Arial"/>
          <w:sz w:val="20"/>
          <w:szCs w:val="20"/>
        </w:rPr>
        <w:t xml:space="preserve"> č. 541/2020 Sb. </w:t>
      </w:r>
    </w:p>
    <w:p w:rsidR="000E4850" w:rsidRPr="000E4850" w:rsidRDefault="000E4850" w:rsidP="00883F6F">
      <w:pPr>
        <w:overflowPunct w:val="0"/>
        <w:autoSpaceDE w:val="0"/>
        <w:autoSpaceDN w:val="0"/>
        <w:adjustRightInd w:val="0"/>
        <w:spacing w:after="0"/>
        <w:ind w:firstLine="284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 </w:t>
      </w:r>
      <w:r w:rsidR="001D717D">
        <w:rPr>
          <w:rFonts w:ascii="Arial" w:hAnsi="Arial" w:cs="Arial"/>
          <w:sz w:val="20"/>
          <w:szCs w:val="20"/>
        </w:rPr>
        <w:t xml:space="preserve">  </w:t>
      </w:r>
      <w:proofErr w:type="gramStart"/>
      <w:r w:rsidR="00883F6F">
        <w:rPr>
          <w:rFonts w:ascii="Arial" w:hAnsi="Arial" w:cs="Arial"/>
          <w:sz w:val="20"/>
          <w:szCs w:val="20"/>
        </w:rPr>
        <w:t xml:space="preserve">-   </w:t>
      </w:r>
      <w:r w:rsidRPr="000E4850">
        <w:rPr>
          <w:rFonts w:ascii="Arial" w:hAnsi="Arial" w:cs="Arial"/>
          <w:sz w:val="20"/>
          <w:szCs w:val="20"/>
        </w:rPr>
        <w:t>Zajištění</w:t>
      </w:r>
      <w:proofErr w:type="gramEnd"/>
      <w:r w:rsidRPr="000E4850">
        <w:rPr>
          <w:rFonts w:ascii="Arial" w:hAnsi="Arial" w:cs="Arial"/>
          <w:sz w:val="20"/>
          <w:szCs w:val="20"/>
        </w:rPr>
        <w:t xml:space="preserve"> projednání, potřebných kladných vyjádření a souhlasných stanovisek všech </w:t>
      </w:r>
    </w:p>
    <w:p w:rsidR="000E4850" w:rsidRPr="000E4850" w:rsidRDefault="000E4850" w:rsidP="001D717D">
      <w:pPr>
        <w:overflowPunct w:val="0"/>
        <w:autoSpaceDE w:val="0"/>
        <w:autoSpaceDN w:val="0"/>
        <w:adjustRightInd w:val="0"/>
        <w:spacing w:after="0"/>
        <w:ind w:left="142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         orgánů státní správy a samosprávy, organizací a správců dotčených inženýrských sítí pro </w:t>
      </w:r>
    </w:p>
    <w:p w:rsidR="000E4850" w:rsidRPr="000E4850" w:rsidRDefault="000E4850" w:rsidP="001D717D">
      <w:pPr>
        <w:overflowPunct w:val="0"/>
        <w:autoSpaceDE w:val="0"/>
        <w:autoSpaceDN w:val="0"/>
        <w:adjustRightInd w:val="0"/>
        <w:spacing w:after="0"/>
        <w:ind w:left="142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         vydání povolení záměru, vč. případného následného zapracování změn do projektové dokumentace</w:t>
      </w:r>
    </w:p>
    <w:p w:rsidR="000E4850" w:rsidRPr="000E4850" w:rsidRDefault="000E4850" w:rsidP="001D717D">
      <w:pPr>
        <w:spacing w:after="0"/>
        <w:ind w:left="709"/>
        <w:jc w:val="both"/>
        <w:rPr>
          <w:rFonts w:ascii="Arial" w:hAnsi="Arial" w:cs="Arial"/>
          <w:bCs/>
          <w:sz w:val="20"/>
          <w:szCs w:val="20"/>
        </w:rPr>
      </w:pPr>
      <w:proofErr w:type="gramStart"/>
      <w:r w:rsidRPr="000E4850">
        <w:rPr>
          <w:rFonts w:ascii="Arial" w:hAnsi="Arial" w:cs="Arial"/>
          <w:bCs/>
          <w:sz w:val="20"/>
          <w:szCs w:val="20"/>
        </w:rPr>
        <w:t>-  Zpracování</w:t>
      </w:r>
      <w:proofErr w:type="gramEnd"/>
      <w:r w:rsidRPr="000E4850">
        <w:rPr>
          <w:rFonts w:ascii="Arial" w:hAnsi="Arial" w:cs="Arial"/>
          <w:bCs/>
          <w:sz w:val="20"/>
          <w:szCs w:val="20"/>
        </w:rPr>
        <w:t xml:space="preserve"> žádosti o vydání povolení záměru, včetně všech požadovaných příloh, vyjádření a stanovisek a podání řádné žádostí k příslušným stavebním úřadům dle jednotlivých stavebních objektů a příslušnosti k úřadu, který stavební objekty povoluje. </w:t>
      </w:r>
    </w:p>
    <w:p w:rsidR="000E4850" w:rsidRPr="000E4850" w:rsidRDefault="000E4850" w:rsidP="000E4850">
      <w:pPr>
        <w:pStyle w:val="Odstavecseseznamem"/>
        <w:numPr>
          <w:ilvl w:val="0"/>
          <w:numId w:val="21"/>
        </w:numPr>
        <w:tabs>
          <w:tab w:val="num" w:pos="-1560"/>
        </w:tabs>
        <w:spacing w:after="0"/>
        <w:jc w:val="both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bCs/>
          <w:sz w:val="20"/>
          <w:szCs w:val="20"/>
        </w:rPr>
        <w:t>Před podáním žádosti na příslušný stavební úřad, je zhotovitel povinen odsouhlasit si tuto žádost včetně všech příloh se zástupci objednatele.</w:t>
      </w:r>
    </w:p>
    <w:p w:rsidR="000E4850" w:rsidRPr="000E4850" w:rsidRDefault="000E4850" w:rsidP="00883F6F">
      <w:pPr>
        <w:numPr>
          <w:ilvl w:val="0"/>
          <w:numId w:val="21"/>
        </w:numPr>
        <w:spacing w:after="0"/>
        <w:ind w:left="709" w:hanging="283"/>
        <w:contextualSpacing/>
        <w:jc w:val="both"/>
        <w:rPr>
          <w:rFonts w:ascii="Arial" w:eastAsia="Times New Roman" w:hAnsi="Arial" w:cs="Arial"/>
          <w:sz w:val="20"/>
          <w:szCs w:val="20"/>
          <w:lang w:eastAsia="cs-CZ"/>
        </w:rPr>
      </w:pPr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Podání žádosti o povolení záměru, zajištění vydání povolení stavby včetně potřebné inženýrské činnosti (např. dořešení změn PD v průběhu řízení o povolení záměru), získání doložky nabytí právní moci Povolení stavby </w:t>
      </w:r>
    </w:p>
    <w:p w:rsidR="000E4850" w:rsidRPr="000E4850" w:rsidRDefault="000E4850" w:rsidP="000E4850">
      <w:pPr>
        <w:pStyle w:val="Odstavecseseznamem"/>
        <w:numPr>
          <w:ilvl w:val="0"/>
          <w:numId w:val="21"/>
        </w:numPr>
        <w:tabs>
          <w:tab w:val="num" w:pos="-1560"/>
        </w:tabs>
        <w:spacing w:after="240"/>
        <w:jc w:val="both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bCs/>
          <w:sz w:val="20"/>
          <w:szCs w:val="20"/>
          <w:u w:val="single"/>
        </w:rPr>
        <w:t xml:space="preserve">Po vydání Pravomocného povolení záměru bude předáno objednateli: </w:t>
      </w:r>
      <w:r w:rsidRPr="000E4850">
        <w:rPr>
          <w:rFonts w:ascii="Arial" w:hAnsi="Arial" w:cs="Arial"/>
          <w:sz w:val="20"/>
          <w:szCs w:val="20"/>
        </w:rPr>
        <w:t>1 x originál každého povolení stavebního záměru (PS) v písemné podobě s vyznačením nabytí právní moci + projektová dokumentace pro povolení stavebního záměru (DPS) ověřená stavebním úřadem.</w:t>
      </w:r>
    </w:p>
    <w:p w:rsidR="000E4850" w:rsidRPr="000E4850" w:rsidRDefault="000E4850" w:rsidP="000E4850">
      <w:pPr>
        <w:spacing w:after="120"/>
        <w:jc w:val="both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Dokumentace bude projednána na výrobních výborech (minimálně 2x) za účasti všech dotčených touto stavbou. Před dokončením a odevzdáním každého stupně projektové dokumentace (tj. DPS a PDPS) budou svolány tzv. </w:t>
      </w:r>
      <w:proofErr w:type="spellStart"/>
      <w:r w:rsidRPr="000E4850">
        <w:rPr>
          <w:rFonts w:ascii="Arial" w:hAnsi="Arial" w:cs="Arial"/>
          <w:sz w:val="20"/>
          <w:szCs w:val="20"/>
        </w:rPr>
        <w:t>technicko-dokumentační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komise (TDK) za účasti všech dotčených touto stavbou. Zadavateli bude zhotovitelem v dostatečném </w:t>
      </w:r>
      <w:proofErr w:type="gramStart"/>
      <w:r w:rsidRPr="000E4850">
        <w:rPr>
          <w:rFonts w:ascii="Arial" w:hAnsi="Arial" w:cs="Arial"/>
          <w:sz w:val="20"/>
          <w:szCs w:val="20"/>
        </w:rPr>
        <w:t>předstihu   (7 dní</w:t>
      </w:r>
      <w:proofErr w:type="gramEnd"/>
      <w:r w:rsidRPr="000E4850">
        <w:rPr>
          <w:rFonts w:ascii="Arial" w:hAnsi="Arial" w:cs="Arial"/>
          <w:sz w:val="20"/>
          <w:szCs w:val="20"/>
        </w:rPr>
        <w:t>) zaslána projektová dokumentace jako podklad pro TDK. Výrobní výbory a TDK svolává a zápis vyhotovuje zhotovitel projektové dokumentace. Výrobní výbory a TDK budou svolávány v sídle objednatele, pokud nebude dohodnuto jinak.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/>
        <w:jc w:val="both"/>
        <w:textAlignment w:val="baseline"/>
        <w:rPr>
          <w:rFonts w:ascii="Arial" w:hAnsi="Arial" w:cs="Arial"/>
          <w:b/>
          <w:sz w:val="20"/>
          <w:szCs w:val="20"/>
          <w:highlight w:val="yellow"/>
        </w:rPr>
      </w:pPr>
      <w:r w:rsidRPr="000E4850">
        <w:rPr>
          <w:rFonts w:ascii="Arial" w:hAnsi="Arial" w:cs="Arial"/>
          <w:b/>
          <w:sz w:val="20"/>
          <w:szCs w:val="20"/>
        </w:rPr>
        <w:t>Po definitivním odsouhlasení zadavatelem bude následně projektová dokumentace ve stupni pro vydání povolení stavebního záměru (DPS) předána zadavateli v tištěné podobě a na CD (v plném rozsahu tištěné podoby) v následujícím počtu:</w:t>
      </w:r>
    </w:p>
    <w:p w:rsidR="000E4850" w:rsidRPr="000E4850" w:rsidRDefault="000E4850" w:rsidP="000E4850">
      <w:pPr>
        <w:pStyle w:val="Odstavecseseznamem"/>
        <w:numPr>
          <w:ilvl w:val="0"/>
          <w:numId w:val="21"/>
        </w:numPr>
        <w:overflowPunct w:val="0"/>
        <w:autoSpaceDE w:val="0"/>
        <w:autoSpaceDN w:val="0"/>
        <w:adjustRightInd w:val="0"/>
        <w:spacing w:after="120"/>
        <w:ind w:left="567" w:hanging="425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DPS - 2x v tištěné podobě, vč. dokladové části ve všech </w:t>
      </w:r>
      <w:proofErr w:type="spellStart"/>
      <w:r w:rsidRPr="000E4850">
        <w:rPr>
          <w:rFonts w:ascii="Arial" w:hAnsi="Arial" w:cs="Arial"/>
          <w:sz w:val="20"/>
          <w:szCs w:val="20"/>
        </w:rPr>
        <w:t>paré</w:t>
      </w:r>
      <w:proofErr w:type="spellEnd"/>
      <w:r w:rsidRPr="000E4850">
        <w:rPr>
          <w:rFonts w:ascii="Arial" w:hAnsi="Arial" w:cs="Arial"/>
          <w:sz w:val="20"/>
          <w:szCs w:val="20"/>
        </w:rPr>
        <w:t>, 1x v digitální ve formátu *.</w:t>
      </w:r>
      <w:proofErr w:type="spellStart"/>
      <w:r w:rsidRPr="000E4850">
        <w:rPr>
          <w:rFonts w:ascii="Arial" w:hAnsi="Arial" w:cs="Arial"/>
          <w:sz w:val="20"/>
          <w:szCs w:val="20"/>
        </w:rPr>
        <w:t>dwg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a *.</w:t>
      </w:r>
      <w:proofErr w:type="spellStart"/>
      <w:r w:rsidRPr="000E4850">
        <w:rPr>
          <w:rFonts w:ascii="Arial" w:hAnsi="Arial" w:cs="Arial"/>
          <w:sz w:val="20"/>
          <w:szCs w:val="20"/>
        </w:rPr>
        <w:t>pdf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</w:t>
      </w:r>
    </w:p>
    <w:p w:rsidR="000E4850" w:rsidRPr="000E4850" w:rsidRDefault="000E4850" w:rsidP="000E4850">
      <w:pPr>
        <w:pStyle w:val="Odstavecseseznamem"/>
        <w:numPr>
          <w:ilvl w:val="0"/>
          <w:numId w:val="21"/>
        </w:numPr>
        <w:overflowPunct w:val="0"/>
        <w:autoSpaceDE w:val="0"/>
        <w:autoSpaceDN w:val="0"/>
        <w:adjustRightInd w:val="0"/>
        <w:spacing w:after="120"/>
        <w:ind w:left="567" w:hanging="425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Odhad stavebních nákladů – 1x v digitální ve formátu *.</w:t>
      </w:r>
      <w:proofErr w:type="spellStart"/>
      <w:r w:rsidRPr="000E4850">
        <w:rPr>
          <w:rFonts w:ascii="Arial" w:hAnsi="Arial" w:cs="Arial"/>
          <w:sz w:val="20"/>
          <w:szCs w:val="20"/>
        </w:rPr>
        <w:t>pdf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nebo *.</w:t>
      </w:r>
      <w:proofErr w:type="spellStart"/>
      <w:r w:rsidRPr="000E4850">
        <w:rPr>
          <w:rFonts w:ascii="Arial" w:hAnsi="Arial" w:cs="Arial"/>
          <w:sz w:val="20"/>
          <w:szCs w:val="20"/>
        </w:rPr>
        <w:t>xls</w:t>
      </w:r>
      <w:proofErr w:type="spellEnd"/>
    </w:p>
    <w:p w:rsidR="000E4850" w:rsidRPr="000E4850" w:rsidRDefault="000E4850" w:rsidP="000E4850">
      <w:pPr>
        <w:rPr>
          <w:rFonts w:ascii="Arial" w:hAnsi="Arial" w:cs="Arial"/>
          <w:b/>
          <w:sz w:val="20"/>
          <w:szCs w:val="20"/>
          <w:u w:val="single"/>
        </w:rPr>
      </w:pPr>
      <w:r w:rsidRPr="000E4850">
        <w:rPr>
          <w:rFonts w:ascii="Arial" w:hAnsi="Arial" w:cs="Arial"/>
          <w:b/>
          <w:sz w:val="20"/>
          <w:szCs w:val="20"/>
          <w:u w:val="single"/>
        </w:rPr>
        <w:t>Vypracování dokumentace pro provádění stavby</w:t>
      </w:r>
    </w:p>
    <w:p w:rsidR="000E4850" w:rsidRPr="000E4850" w:rsidRDefault="000E4850" w:rsidP="000E4850">
      <w:pPr>
        <w:spacing w:after="0" w:line="240" w:lineRule="auto"/>
        <w:jc w:val="both"/>
        <w:rPr>
          <w:rFonts w:ascii="Arial" w:eastAsia="Times New Roman" w:hAnsi="Arial" w:cs="Arial"/>
          <w:sz w:val="20"/>
          <w:szCs w:val="20"/>
          <w:highlight w:val="yellow"/>
          <w:lang w:eastAsia="cs-CZ"/>
        </w:rPr>
      </w:pPr>
      <w:r w:rsidRPr="000E4850">
        <w:rPr>
          <w:rFonts w:ascii="Arial" w:hAnsi="Arial" w:cs="Arial"/>
          <w:sz w:val="20"/>
          <w:szCs w:val="20"/>
        </w:rPr>
        <w:t xml:space="preserve">Rozsah a obsah dokumentace je stanoven vyhláškou o dokumentaci staveb 131/2024 Sb., </w:t>
      </w:r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Zákonem č. 283/2021 Sb. - Stavební zákon, Zákonem č. 284/2021 Sb. - Zákon, kterým se mění některé zákony v souvislosti s přijetím stavebního zákona, Zákonem č. 195/2022 Sb. - Zákon, kterým se mění zákon č. 283/2021 Sb., stavební </w:t>
      </w:r>
      <w:proofErr w:type="gramStart"/>
      <w:r w:rsidRPr="000E4850">
        <w:rPr>
          <w:rFonts w:ascii="Arial" w:eastAsia="Times New Roman" w:hAnsi="Arial" w:cs="Arial"/>
          <w:sz w:val="20"/>
          <w:szCs w:val="20"/>
          <w:lang w:eastAsia="cs-CZ"/>
        </w:rPr>
        <w:t>zákon,  Zákonem</w:t>
      </w:r>
      <w:proofErr w:type="gramEnd"/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 č. 152/2023 Sb. - Zákon, kterým se mění zákon č. 283/2021 Sb., stavební zákon, ve znění zákona č. 195/2022 Sb., a některé další související zákony, a vyhláška č. </w:t>
      </w:r>
      <w:r w:rsidRPr="000E4850">
        <w:rPr>
          <w:rFonts w:ascii="Arial" w:eastAsia="Times New Roman" w:hAnsi="Arial" w:cs="Arial"/>
          <w:sz w:val="20"/>
          <w:szCs w:val="20"/>
          <w:lang w:eastAsia="cs-CZ"/>
        </w:rPr>
        <w:lastRenderedPageBreak/>
        <w:t xml:space="preserve">169/2016 Sb., o stanovení rozsahu dokumentace veřejné zakázky na stavební práce a soupisu stavebních prací, dodávek a služeb s výkazem výměr, Zákon č. 541/2020 Sb. - Zákon o odpadech, Zákon č. 318/2025 </w:t>
      </w:r>
      <w:proofErr w:type="spellStart"/>
      <w:proofErr w:type="gramStart"/>
      <w:r w:rsidRPr="000E4850">
        <w:rPr>
          <w:rFonts w:ascii="Arial" w:eastAsia="Times New Roman" w:hAnsi="Arial" w:cs="Arial"/>
          <w:sz w:val="20"/>
          <w:szCs w:val="20"/>
          <w:lang w:eastAsia="cs-CZ"/>
        </w:rPr>
        <w:t>Sb.Zákon</w:t>
      </w:r>
      <w:proofErr w:type="spellEnd"/>
      <w:proofErr w:type="gramEnd"/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, kterým se mění zákon č. 309/2006 Sb., kterým se upravují další požadavky bezpečnosti a ochrany zdraví při práci v pracovněprávních vztazích a o zajištění bezpečnosti a ochrany zdraví při činnosti nebo poskytování služeb mimo pracovněprávní vztahy (zákon o zajištění dalších podmínek bezpečnosti a ochrany zdraví při práci), ve znění pozdějších předpisů, a další související zákony, Nařízení vlády č. 319/2025 </w:t>
      </w:r>
      <w:proofErr w:type="spellStart"/>
      <w:r w:rsidRPr="000E4850">
        <w:rPr>
          <w:rFonts w:ascii="Arial" w:eastAsia="Times New Roman" w:hAnsi="Arial" w:cs="Arial"/>
          <w:sz w:val="20"/>
          <w:szCs w:val="20"/>
          <w:lang w:eastAsia="cs-CZ"/>
        </w:rPr>
        <w:t>Sb.Nařízení</w:t>
      </w:r>
      <w:proofErr w:type="spellEnd"/>
      <w:r w:rsidRPr="000E4850">
        <w:rPr>
          <w:rFonts w:ascii="Arial" w:eastAsia="Times New Roman" w:hAnsi="Arial" w:cs="Arial"/>
          <w:sz w:val="20"/>
          <w:szCs w:val="20"/>
          <w:lang w:eastAsia="cs-CZ"/>
        </w:rPr>
        <w:t xml:space="preserve"> vlády, kterým se mění nařízení vlády č. 591/2006 Sb., o bližších minimálních požadavcích na bezpečnost a ochranu zdraví při práci na staveništích, ve znění nařízení vlády č. 136/2016 Sb., vše v platném znění a bude obsahovat skladbu PD v souladu a rozsahu vyhlášky 131/2024.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    </w:t>
      </w:r>
      <w:r w:rsidRPr="000E4850">
        <w:rPr>
          <w:rFonts w:ascii="Arial" w:hAnsi="Arial" w:cs="Arial"/>
          <w:color w:val="000000"/>
          <w:sz w:val="20"/>
          <w:szCs w:val="20"/>
          <w:lang w:eastAsia="cs-CZ"/>
        </w:rPr>
        <w:t xml:space="preserve">Projektant se zavazuje prostřednictvím zadavatele stavby k předání veškerých podkladů a informací určenému koordinátorovi BOZP, kterým je fyzická nebo právnická osoba určená zadavatelem stavby k provádění stanovených činností při přípravě stavby pro jeho činnost, zejména pro zpracování plánu bezpečnosti a ochrany zdraví při práci na staveništi (dále jen „plán“), včetně informace o fyzických osobách, které se mohou s jeho vědomím zdržovat na staveništi, poskytovat mu potřebnou součinnost  po celou dobu přípravy stavby v souladu s odst. </w:t>
      </w:r>
      <w:r w:rsidRPr="000E4850">
        <w:rPr>
          <w:rFonts w:ascii="Arial" w:hAnsi="Arial" w:cs="Arial"/>
          <w:bCs/>
          <w:color w:val="000000"/>
          <w:sz w:val="20"/>
          <w:szCs w:val="20"/>
          <w:lang w:eastAsia="cs-CZ"/>
        </w:rPr>
        <w:t>(4</w:t>
      </w:r>
      <w:r w:rsidRPr="000E4850">
        <w:rPr>
          <w:rFonts w:ascii="Arial" w:hAnsi="Arial" w:cs="Arial"/>
          <w:bCs/>
          <w:sz w:val="20"/>
          <w:szCs w:val="20"/>
          <w:lang w:eastAsia="cs-CZ"/>
        </w:rPr>
        <w:t>)</w:t>
      </w:r>
      <w:r w:rsidRPr="000E4850">
        <w:rPr>
          <w:rFonts w:ascii="Arial" w:hAnsi="Arial" w:cs="Arial"/>
          <w:sz w:val="20"/>
          <w:szCs w:val="20"/>
          <w:lang w:eastAsia="cs-CZ"/>
        </w:rPr>
        <w:t> </w:t>
      </w:r>
      <w:r w:rsidRPr="000E4850">
        <w:rPr>
          <w:rFonts w:ascii="Arial" w:hAnsi="Arial" w:cs="Arial"/>
          <w:bCs/>
          <w:sz w:val="20"/>
          <w:szCs w:val="20"/>
          <w:lang w:eastAsia="cs-CZ"/>
        </w:rPr>
        <w:t>§ 14</w:t>
      </w:r>
      <w:r w:rsidRPr="000E4850">
        <w:rPr>
          <w:rFonts w:ascii="Arial" w:hAnsi="Arial" w:cs="Arial"/>
          <w:sz w:val="20"/>
          <w:szCs w:val="20"/>
        </w:rPr>
        <w:t xml:space="preserve"> Zákona č. 309/2006 Sb. - Zákon, kterým se upravují další požadavky bezpečnosti a ochrany zdraví při práci v pracovněprávních vztazích a o zajištění bezpečnosti a ochrany zdraví při činnosti nebo poskytování služeb mimo pracovněprávní vztahy (zákon o zajištění dalších podmínek bezpečnosti a ochrany zdraví při práci) a v souladu se Zákonem č. 318/2025 </w:t>
      </w:r>
      <w:proofErr w:type="spellStart"/>
      <w:proofErr w:type="gramStart"/>
      <w:r w:rsidRPr="000E4850">
        <w:rPr>
          <w:rFonts w:ascii="Arial" w:hAnsi="Arial" w:cs="Arial"/>
          <w:sz w:val="20"/>
          <w:szCs w:val="20"/>
        </w:rPr>
        <w:t>Sb.Zákon</w:t>
      </w:r>
      <w:proofErr w:type="spellEnd"/>
      <w:proofErr w:type="gramEnd"/>
      <w:r w:rsidRPr="000E4850">
        <w:rPr>
          <w:rFonts w:ascii="Arial" w:hAnsi="Arial" w:cs="Arial"/>
          <w:sz w:val="20"/>
          <w:szCs w:val="20"/>
        </w:rPr>
        <w:t>, kterým se mění zákon č. 309/2006 Sb., kterým se upravují další požadavky bezpečnosti a ochrany zdraví při práci v pracovněprávních vztazích a o zajištění bezpečnosti a ochrany zdraví při činnosti nebo poskytování služeb mimo pracovněprávní vztahy (zákon o zajištění dalších podmínek bezpečnosti a ochrany zdraví při práci), ve znění pozdějších předpisů Nařízení vlády č. 319/2025 Sb., Nařízením vlády, kterým se mění nařízení vlády č. 591/2006 Sb., o bližších minimálních požadavcích na bezpečnost a ochranu zdraví při práci na staveništích, ve znění nařízení vlády č. 136/2016 Sb., a další související zákony</w:t>
      </w:r>
      <w:r w:rsidRPr="000E4850">
        <w:rPr>
          <w:rFonts w:ascii="Arial" w:hAnsi="Arial" w:cs="Arial"/>
          <w:color w:val="000000"/>
          <w:sz w:val="20"/>
          <w:szCs w:val="20"/>
          <w:lang w:eastAsia="cs-CZ"/>
        </w:rPr>
        <w:t>. Dále předloží zpracovatel PD: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sz w:val="20"/>
          <w:szCs w:val="20"/>
        </w:rPr>
      </w:pPr>
      <w:proofErr w:type="gramStart"/>
      <w:r w:rsidRPr="000E4850">
        <w:rPr>
          <w:rFonts w:ascii="Arial" w:hAnsi="Arial" w:cs="Arial"/>
          <w:sz w:val="20"/>
          <w:szCs w:val="20"/>
        </w:rPr>
        <w:t>-      Neoceněný</w:t>
      </w:r>
      <w:proofErr w:type="gramEnd"/>
      <w:r w:rsidRPr="000E4850">
        <w:rPr>
          <w:rFonts w:ascii="Arial" w:hAnsi="Arial" w:cs="Arial"/>
          <w:sz w:val="20"/>
          <w:szCs w:val="20"/>
        </w:rPr>
        <w:t xml:space="preserve"> soupis prací, oceněný soupis prací (kontrolní rozpočet pro potřeby 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       zadavatele), soupis prací bude zpracován v rozpočtovém programu </w:t>
      </w:r>
      <w:proofErr w:type="spellStart"/>
      <w:r w:rsidRPr="000E4850">
        <w:rPr>
          <w:rFonts w:ascii="Arial" w:hAnsi="Arial" w:cs="Arial"/>
          <w:sz w:val="20"/>
          <w:szCs w:val="20"/>
        </w:rPr>
        <w:t>Aspe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(v oborovém 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       třídníku stavebních konstrukcí OTSKP) v souladu s vyhláškou č. 169/2016 Sb., o stanovení rozsahu dokumentace veřejné zakázky </w:t>
      </w:r>
      <w:proofErr w:type="gramStart"/>
      <w:r w:rsidRPr="000E4850">
        <w:rPr>
          <w:rFonts w:ascii="Arial" w:hAnsi="Arial" w:cs="Arial"/>
          <w:sz w:val="20"/>
          <w:szCs w:val="20"/>
        </w:rPr>
        <w:t>na  stavební</w:t>
      </w:r>
      <w:proofErr w:type="gramEnd"/>
      <w:r w:rsidRPr="000E4850">
        <w:rPr>
          <w:rFonts w:ascii="Arial" w:hAnsi="Arial" w:cs="Arial"/>
          <w:sz w:val="20"/>
          <w:szCs w:val="20"/>
        </w:rPr>
        <w:t xml:space="preserve"> práce a soupisu stavebních prací, dodávek a služeb s výkazem výměr.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0"/>
        <w:jc w:val="both"/>
        <w:textAlignment w:val="baseline"/>
        <w:rPr>
          <w:rFonts w:ascii="Arial" w:hAnsi="Arial" w:cs="Arial"/>
          <w:sz w:val="20"/>
          <w:szCs w:val="20"/>
          <w:highlight w:val="yellow"/>
        </w:rPr>
      </w:pPr>
    </w:p>
    <w:p w:rsidR="000E4850" w:rsidRPr="000E4850" w:rsidRDefault="000E4850" w:rsidP="000E4850">
      <w:pPr>
        <w:spacing w:after="120" w:line="240" w:lineRule="auto"/>
        <w:jc w:val="both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Dokumentace bude projednána na výrobních výborech (minimálně 2x) dotčených touto stavbou, které svolává a zápis vyhotovuje zhotovitel projektové dokumentace včetně TDK. Před dokončením a odevzdáním stupně projektové dokumentace  PDPS bude svolána tzv. </w:t>
      </w:r>
      <w:proofErr w:type="spellStart"/>
      <w:r w:rsidRPr="000E4850">
        <w:rPr>
          <w:rFonts w:ascii="Arial" w:hAnsi="Arial" w:cs="Arial"/>
          <w:sz w:val="20"/>
          <w:szCs w:val="20"/>
        </w:rPr>
        <w:t>technicko-dokumentační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komise (TDK) za účasti všech dotčených touto stavbou. Zadavateli bude zhotovitelem v dostatečném </w:t>
      </w:r>
      <w:proofErr w:type="gramStart"/>
      <w:r w:rsidRPr="000E4850">
        <w:rPr>
          <w:rFonts w:ascii="Arial" w:hAnsi="Arial" w:cs="Arial"/>
          <w:sz w:val="20"/>
          <w:szCs w:val="20"/>
        </w:rPr>
        <w:t>předstihu   (7 dní</w:t>
      </w:r>
      <w:proofErr w:type="gramEnd"/>
      <w:r w:rsidRPr="000E4850">
        <w:rPr>
          <w:rFonts w:ascii="Arial" w:hAnsi="Arial" w:cs="Arial"/>
          <w:sz w:val="20"/>
          <w:szCs w:val="20"/>
        </w:rPr>
        <w:t>) zaslána projektová dokumentace jako podklad pro TDK. Výrobní výbory a TDK budou svolávány v sídle objednatele, pokud nebude dohodnuto jinak.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</w:rPr>
      </w:pPr>
      <w:r w:rsidRPr="000E4850">
        <w:rPr>
          <w:rFonts w:ascii="Arial" w:hAnsi="Arial" w:cs="Arial"/>
          <w:b/>
          <w:sz w:val="20"/>
          <w:szCs w:val="20"/>
        </w:rPr>
        <w:t>Po definitivním odsouhlasení objednatelem bude následně PDPS předána objednateli v tištěné podobě a na CD (v plném rozsahu tištěné podoby) v následujícím počtu:</w:t>
      </w:r>
    </w:p>
    <w:p w:rsidR="000E4850" w:rsidRPr="000E4850" w:rsidRDefault="000E4850" w:rsidP="000E4850">
      <w:pPr>
        <w:pStyle w:val="Odstavecseseznamem"/>
        <w:numPr>
          <w:ilvl w:val="0"/>
          <w:numId w:val="21"/>
        </w:numPr>
        <w:overflowPunct w:val="0"/>
        <w:autoSpaceDE w:val="0"/>
        <w:autoSpaceDN w:val="0"/>
        <w:adjustRightInd w:val="0"/>
        <w:spacing w:after="120"/>
        <w:ind w:left="567" w:hanging="425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PDPS - 3x v tištěné podobě, 1x v digitální ve formátu *.</w:t>
      </w:r>
      <w:proofErr w:type="spellStart"/>
      <w:r w:rsidRPr="000E4850">
        <w:rPr>
          <w:rFonts w:ascii="Arial" w:hAnsi="Arial" w:cs="Arial"/>
          <w:sz w:val="20"/>
          <w:szCs w:val="20"/>
        </w:rPr>
        <w:t>dwg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a *.</w:t>
      </w:r>
      <w:proofErr w:type="spellStart"/>
      <w:r w:rsidRPr="000E4850">
        <w:rPr>
          <w:rFonts w:ascii="Arial" w:hAnsi="Arial" w:cs="Arial"/>
          <w:sz w:val="20"/>
          <w:szCs w:val="20"/>
        </w:rPr>
        <w:t>pdf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</w:t>
      </w:r>
    </w:p>
    <w:p w:rsidR="000E4850" w:rsidRPr="000E4850" w:rsidRDefault="000E4850" w:rsidP="000E4850">
      <w:pPr>
        <w:pStyle w:val="Odstavecseseznamem"/>
        <w:numPr>
          <w:ilvl w:val="0"/>
          <w:numId w:val="21"/>
        </w:numPr>
        <w:overflowPunct w:val="0"/>
        <w:autoSpaceDE w:val="0"/>
        <w:autoSpaceDN w:val="0"/>
        <w:adjustRightInd w:val="0"/>
        <w:spacing w:after="120"/>
        <w:ind w:left="567" w:hanging="425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Oceněný soupis prací – 1x v digitální ve formátu *.</w:t>
      </w:r>
      <w:proofErr w:type="spellStart"/>
      <w:r w:rsidRPr="000E4850">
        <w:rPr>
          <w:rFonts w:ascii="Arial" w:hAnsi="Arial" w:cs="Arial"/>
          <w:sz w:val="20"/>
          <w:szCs w:val="20"/>
        </w:rPr>
        <w:t>xls</w:t>
      </w:r>
      <w:proofErr w:type="spellEnd"/>
      <w:r w:rsidRPr="000E4850">
        <w:rPr>
          <w:rFonts w:ascii="Arial" w:hAnsi="Arial" w:cs="Arial"/>
          <w:sz w:val="20"/>
          <w:szCs w:val="20"/>
        </w:rPr>
        <w:t>(x), *.</w:t>
      </w:r>
      <w:proofErr w:type="spellStart"/>
      <w:proofErr w:type="gramStart"/>
      <w:r w:rsidRPr="000E4850">
        <w:rPr>
          <w:rFonts w:ascii="Arial" w:hAnsi="Arial" w:cs="Arial"/>
          <w:sz w:val="20"/>
          <w:szCs w:val="20"/>
        </w:rPr>
        <w:t>pdf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a *.</w:t>
      </w:r>
      <w:proofErr w:type="spellStart"/>
      <w:r w:rsidRPr="000E4850">
        <w:rPr>
          <w:rFonts w:ascii="Arial" w:hAnsi="Arial" w:cs="Arial"/>
          <w:sz w:val="20"/>
          <w:szCs w:val="20"/>
        </w:rPr>
        <w:t>xml</w:t>
      </w:r>
      <w:proofErr w:type="spellEnd"/>
      <w:proofErr w:type="gramEnd"/>
      <w:r w:rsidRPr="000E4850">
        <w:rPr>
          <w:rFonts w:ascii="Arial" w:hAnsi="Arial" w:cs="Arial"/>
          <w:sz w:val="20"/>
          <w:szCs w:val="20"/>
        </w:rPr>
        <w:t xml:space="preserve"> (exportní soubor z </w:t>
      </w:r>
      <w:proofErr w:type="spellStart"/>
      <w:r w:rsidRPr="000E4850">
        <w:rPr>
          <w:rFonts w:ascii="Arial" w:hAnsi="Arial" w:cs="Arial"/>
          <w:sz w:val="20"/>
          <w:szCs w:val="20"/>
        </w:rPr>
        <w:t>Esticonu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v datovém předpisu XC4)</w:t>
      </w:r>
    </w:p>
    <w:p w:rsidR="000E4850" w:rsidRPr="000E4850" w:rsidRDefault="000E4850" w:rsidP="000E4850">
      <w:pPr>
        <w:pStyle w:val="Odstavecseseznamem"/>
        <w:numPr>
          <w:ilvl w:val="0"/>
          <w:numId w:val="21"/>
        </w:numPr>
        <w:overflowPunct w:val="0"/>
        <w:autoSpaceDE w:val="0"/>
        <w:autoSpaceDN w:val="0"/>
        <w:adjustRightInd w:val="0"/>
        <w:spacing w:after="120"/>
        <w:ind w:left="567" w:hanging="425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Neoceněný soupis prací – 1x v digitální ve formátu *.</w:t>
      </w:r>
      <w:proofErr w:type="spellStart"/>
      <w:r w:rsidRPr="000E4850">
        <w:rPr>
          <w:rFonts w:ascii="Arial" w:hAnsi="Arial" w:cs="Arial"/>
          <w:sz w:val="20"/>
          <w:szCs w:val="20"/>
        </w:rPr>
        <w:t>xls</w:t>
      </w:r>
      <w:proofErr w:type="spellEnd"/>
      <w:r w:rsidRPr="000E4850">
        <w:rPr>
          <w:rFonts w:ascii="Arial" w:hAnsi="Arial" w:cs="Arial"/>
          <w:sz w:val="20"/>
          <w:szCs w:val="20"/>
        </w:rPr>
        <w:t>(x), *.</w:t>
      </w:r>
      <w:proofErr w:type="spellStart"/>
      <w:proofErr w:type="gramStart"/>
      <w:r w:rsidRPr="000E4850">
        <w:rPr>
          <w:rFonts w:ascii="Arial" w:hAnsi="Arial" w:cs="Arial"/>
          <w:sz w:val="20"/>
          <w:szCs w:val="20"/>
        </w:rPr>
        <w:t>pdf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a *.</w:t>
      </w:r>
      <w:proofErr w:type="spellStart"/>
      <w:r w:rsidRPr="000E4850">
        <w:rPr>
          <w:rFonts w:ascii="Arial" w:hAnsi="Arial" w:cs="Arial"/>
          <w:sz w:val="20"/>
          <w:szCs w:val="20"/>
        </w:rPr>
        <w:t>xml</w:t>
      </w:r>
      <w:proofErr w:type="spellEnd"/>
      <w:proofErr w:type="gramEnd"/>
      <w:r w:rsidRPr="000E4850">
        <w:rPr>
          <w:rFonts w:ascii="Arial" w:hAnsi="Arial" w:cs="Arial"/>
          <w:sz w:val="20"/>
          <w:szCs w:val="20"/>
        </w:rPr>
        <w:t xml:space="preserve"> (exportní soubor z </w:t>
      </w:r>
      <w:proofErr w:type="spellStart"/>
      <w:r w:rsidRPr="000E4850">
        <w:rPr>
          <w:rFonts w:ascii="Arial" w:hAnsi="Arial" w:cs="Arial"/>
          <w:sz w:val="20"/>
          <w:szCs w:val="20"/>
        </w:rPr>
        <w:t>Esticonu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v datovém předpisu XC4)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Tahoma" w:hAnsi="Tahoma" w:cs="Tahoma"/>
          <w:sz w:val="20"/>
          <w:szCs w:val="20"/>
        </w:rPr>
        <w:t>⁕</w:t>
      </w:r>
      <w:r w:rsidRPr="000E4850">
        <w:rPr>
          <w:rFonts w:ascii="Arial" w:hAnsi="Arial" w:cs="Arial"/>
          <w:sz w:val="20"/>
          <w:szCs w:val="20"/>
        </w:rPr>
        <w:t>Datový předpis XC4 „je otevřený elektronický formát ve struktuře XML, který splňuje veškeré požadavky Vyhlášky č.169/2016 Sb. ze dne 12. května 2016. Volně dostupný Datový předpis XC4 umožňuje transfery dat a jejich zpracování různými softwarovými produkty pro sestavení soupisu prací, pro sestavení nabídkové ceny a veškerou komunikaci v průběhu realizace.“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Digitální podoba projektové dokumentace bude předána na nosiči CD v plném rozsahu tištěné podoby. 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Při převzetí této dokumentace bude disk zkontrolován na odkazu </w:t>
      </w:r>
      <w:hyperlink r:id="rId11" w:history="1">
        <w:r w:rsidRPr="000E4850">
          <w:rPr>
            <w:rStyle w:val="Hypertextovodkaz"/>
            <w:rFonts w:ascii="Arial" w:hAnsi="Arial" w:cs="Arial"/>
            <w:sz w:val="20"/>
            <w:szCs w:val="20"/>
          </w:rPr>
          <w:t>Datový předpis XC4</w:t>
        </w:r>
      </w:hyperlink>
      <w:r w:rsidRPr="000E4850">
        <w:rPr>
          <w:rStyle w:val="Hypertextovodkaz"/>
          <w:rFonts w:ascii="Arial" w:hAnsi="Arial" w:cs="Arial"/>
          <w:sz w:val="20"/>
          <w:szCs w:val="20"/>
        </w:rPr>
        <w:t xml:space="preserve"> : výsledek kontroly musí být vždy „</w:t>
      </w:r>
      <w:r w:rsidRPr="000E4850">
        <w:rPr>
          <w:rFonts w:ascii="Arial" w:hAnsi="Arial" w:cs="Arial"/>
          <w:sz w:val="20"/>
          <w:szCs w:val="20"/>
          <w:u w:val="single"/>
        </w:rPr>
        <w:t>Soubor odpovídá schématu XC4 – SP</w:t>
      </w:r>
      <w:r w:rsidRPr="000E4850">
        <w:rPr>
          <w:rFonts w:ascii="Arial" w:hAnsi="Arial" w:cs="Arial"/>
          <w:sz w:val="20"/>
          <w:szCs w:val="20"/>
        </w:rPr>
        <w:t xml:space="preserve">“. 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sz w:val="20"/>
          <w:szCs w:val="20"/>
          <w:highlight w:val="yellow"/>
        </w:rPr>
      </w:pPr>
    </w:p>
    <w:p w:rsidR="000E4850" w:rsidRPr="000E4850" w:rsidRDefault="000E4850" w:rsidP="000E4850">
      <w:pPr>
        <w:rPr>
          <w:rFonts w:ascii="Arial" w:hAnsi="Arial" w:cs="Arial"/>
          <w:b/>
          <w:sz w:val="20"/>
          <w:szCs w:val="20"/>
          <w:u w:val="single"/>
        </w:rPr>
      </w:pPr>
      <w:r w:rsidRPr="000E4850">
        <w:rPr>
          <w:rFonts w:ascii="Arial" w:hAnsi="Arial" w:cs="Arial"/>
          <w:b/>
          <w:sz w:val="20"/>
          <w:szCs w:val="20"/>
          <w:u w:val="single"/>
        </w:rPr>
        <w:lastRenderedPageBreak/>
        <w:t>Výkon dozoru projektanta</w:t>
      </w:r>
    </w:p>
    <w:p w:rsidR="000E4850" w:rsidRPr="000E4850" w:rsidRDefault="000E4850" w:rsidP="000E4850">
      <w:pPr>
        <w:pStyle w:val="Zkladntextodsazen21"/>
        <w:spacing w:after="240" w:line="276" w:lineRule="auto"/>
        <w:ind w:left="0" w:firstLine="0"/>
        <w:rPr>
          <w:rFonts w:ascii="Arial" w:hAnsi="Arial" w:cs="Arial"/>
          <w:sz w:val="20"/>
        </w:rPr>
      </w:pPr>
      <w:r w:rsidRPr="000E4850">
        <w:rPr>
          <w:rFonts w:ascii="Arial" w:hAnsi="Arial" w:cs="Arial"/>
          <w:sz w:val="20"/>
        </w:rPr>
        <w:t xml:space="preserve">Výkonem dozoru projektanta se rozumí uskutečnění činností předpokládaných obecně závaznými právními předpisy a vyžadovaných objektivní stavebně-technickou situací, jakožto součinnost autora při realizaci stavby podle zpracovaného projektu. V rámci výkonu dozoru projektanta je zhotovitel povinen zejména provádět pravidelnou kontrolu postupu realizace podle zpracovaného projektu, podávat vysvětlení a pokyny pro realizaci stavby. V případě potřeby provést přepracování nebo doplnění projektové dokumentace. </w:t>
      </w:r>
    </w:p>
    <w:p w:rsidR="000E4850" w:rsidRPr="000E4850" w:rsidRDefault="000E4850" w:rsidP="000E4850">
      <w:pPr>
        <w:pStyle w:val="Zkladntextodsazen21"/>
        <w:spacing w:after="240" w:line="276" w:lineRule="auto"/>
        <w:ind w:left="0" w:firstLine="0"/>
        <w:rPr>
          <w:rFonts w:ascii="Arial" w:hAnsi="Arial" w:cs="Arial"/>
          <w:sz w:val="20"/>
        </w:rPr>
      </w:pPr>
      <w:r w:rsidRPr="000E4850">
        <w:rPr>
          <w:rFonts w:ascii="Arial" w:hAnsi="Arial" w:cs="Arial"/>
          <w:sz w:val="20"/>
        </w:rPr>
        <w:t>Zhotovitel je povinen při plnění dozoru projektanta poskytnout svoji součinnost vždy bezodkladně poté, kdy bude k tomu zadavatelem vyzván nebo poté, kdy takovou potřebu sám zjistí.</w:t>
      </w:r>
    </w:p>
    <w:p w:rsidR="000E4850" w:rsidRPr="000E4850" w:rsidRDefault="000E4850" w:rsidP="000E4850">
      <w:pPr>
        <w:pStyle w:val="Zkladntextodsazen21"/>
        <w:spacing w:line="276" w:lineRule="auto"/>
        <w:ind w:left="0" w:firstLine="0"/>
        <w:rPr>
          <w:rFonts w:ascii="Arial" w:hAnsi="Arial" w:cs="Arial"/>
          <w:b/>
          <w:sz w:val="20"/>
        </w:rPr>
      </w:pPr>
      <w:r w:rsidRPr="000E4850">
        <w:rPr>
          <w:rFonts w:ascii="Arial" w:hAnsi="Arial" w:cs="Arial"/>
          <w:b/>
          <w:sz w:val="20"/>
        </w:rPr>
        <w:t>Předmětem výkonu dozoru projektanta je především: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účastnit se předání staveniště zhotoviteli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dohled nad realizací díla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kontrola dodržování projektové dokumentace s přihlédnutím na podmínky určené povolením stavby, souhlasem stavebního úřadu, případně nařízením nezbytných stavebních úprav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posuzování postupu výstavby z technického hlediska a z hlediska časového plánu výstavby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sledování a kontrola technických a kvalitativních parametrů stavby</w:t>
      </w:r>
    </w:p>
    <w:p w:rsidR="000E4850" w:rsidRPr="000E4850" w:rsidRDefault="000E4850" w:rsidP="000E4850">
      <w:pPr>
        <w:pStyle w:val="Odstavecseseznamem"/>
        <w:numPr>
          <w:ilvl w:val="0"/>
          <w:numId w:val="24"/>
        </w:numPr>
        <w:tabs>
          <w:tab w:val="num" w:pos="-1560"/>
        </w:tabs>
        <w:spacing w:after="0"/>
        <w:jc w:val="both"/>
        <w:rPr>
          <w:rFonts w:ascii="Arial" w:hAnsi="Arial" w:cs="Arial"/>
          <w:bCs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v případě nutnosti zpracování změny záměru před dokončením dle § 224 stavebního zákona v platném znění, která je součástí výkonu dozoru projektanta jako autora díla, neprodleně po tomto zjištění zahájit projekční práce včetně zajištění všech příslušných vyjádření a dokladů nezbytných k podání žádosti dle § 184 Stavebního zákona v platném </w:t>
      </w:r>
      <w:proofErr w:type="gramStart"/>
      <w:r w:rsidRPr="000E4850">
        <w:rPr>
          <w:rFonts w:ascii="Arial" w:hAnsi="Arial" w:cs="Arial"/>
          <w:sz w:val="20"/>
          <w:szCs w:val="20"/>
        </w:rPr>
        <w:t>znění  a dále</w:t>
      </w:r>
      <w:proofErr w:type="gramEnd"/>
      <w:r w:rsidRPr="000E4850">
        <w:rPr>
          <w:rFonts w:ascii="Arial" w:hAnsi="Arial" w:cs="Arial"/>
          <w:sz w:val="20"/>
          <w:szCs w:val="20"/>
        </w:rPr>
        <w:t xml:space="preserve"> podání žádosti včetně všech příloh na příslušný stavební úřad. </w:t>
      </w:r>
      <w:r w:rsidRPr="000E4850">
        <w:rPr>
          <w:rFonts w:ascii="Arial" w:hAnsi="Arial" w:cs="Arial"/>
          <w:bCs/>
          <w:sz w:val="20"/>
          <w:szCs w:val="20"/>
        </w:rPr>
        <w:t>Před podáním žádostí na příslušný stavební úřad je zhotovitel povinen odsouhlasit si tyto žádosti včetně všech příloh se zástupci objednatele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řešit drobné odchylky od projektu, které nebudou vyžadovat zpracování nového projektu případně jeho části nebo dodatku projektové dokumentace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posuzovat návrhy zadavatele stavby na změny a odchylky v částech projektů zpracovávaných v rámci realizační dokumentace z pohledu dodržení </w:t>
      </w:r>
      <w:proofErr w:type="spellStart"/>
      <w:r w:rsidRPr="000E4850">
        <w:rPr>
          <w:rFonts w:ascii="Arial" w:hAnsi="Arial" w:cs="Arial"/>
          <w:sz w:val="20"/>
          <w:szCs w:val="20"/>
        </w:rPr>
        <w:t>technicko-ekonomických</w:t>
      </w:r>
      <w:proofErr w:type="spellEnd"/>
      <w:r w:rsidRPr="000E4850">
        <w:rPr>
          <w:rFonts w:ascii="Arial" w:hAnsi="Arial" w:cs="Arial"/>
          <w:sz w:val="20"/>
          <w:szCs w:val="20"/>
        </w:rPr>
        <w:t xml:space="preserve"> parametrů, dodržení lhůt výstavby, případně dalších údajů a ukazatelů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vyjádření k požadavkům na zvětšený rozsah stavebních prací a dodávek materiálu oproti projektové dokumentaci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účast na kontrolních dnech stavby 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účast na přejímacím řízení stavby a jejích dílčích částech, případné kolaudaci stavby a řádně spolupracovat při těchto řízeních 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provádění projekčních prací menšího rozsahu (doplňky a změny)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poskytovat technické konzultace potřebné pro plynulost výstavby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after="0"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konzultovat a podávat upřesnění při vypracování realizační dokumentace</w:t>
      </w:r>
    </w:p>
    <w:p w:rsidR="000E4850" w:rsidRPr="000E4850" w:rsidRDefault="000E4850" w:rsidP="000E4850">
      <w:pPr>
        <w:pStyle w:val="Zkladntext"/>
        <w:numPr>
          <w:ilvl w:val="0"/>
          <w:numId w:val="24"/>
        </w:numPr>
        <w:tabs>
          <w:tab w:val="clear" w:pos="360"/>
          <w:tab w:val="num" w:pos="426"/>
          <w:tab w:val="num" w:pos="567"/>
        </w:tabs>
        <w:overflowPunct/>
        <w:autoSpaceDE/>
        <w:adjustRightInd/>
        <w:spacing w:line="276" w:lineRule="auto"/>
        <w:textAlignment w:val="auto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>zapisovat své návštěvy, prohlídky a posouzení stavby ve stavebním deníku, kam bude také uvádět jím zjištěné nedostatky a navržená opatření, pokud není výše dohodnuto jinak</w:t>
      </w:r>
    </w:p>
    <w:p w:rsidR="000E4850" w:rsidRPr="000E4850" w:rsidRDefault="000E4850" w:rsidP="000E4850">
      <w:pPr>
        <w:pStyle w:val="Zkladntextodsazen21"/>
        <w:tabs>
          <w:tab w:val="left" w:pos="567"/>
        </w:tabs>
        <w:spacing w:after="240" w:line="276" w:lineRule="auto"/>
        <w:ind w:left="0" w:firstLine="0"/>
        <w:rPr>
          <w:rFonts w:ascii="Arial" w:hAnsi="Arial" w:cs="Arial"/>
          <w:iCs/>
          <w:sz w:val="20"/>
        </w:rPr>
      </w:pPr>
      <w:r w:rsidRPr="000E4850">
        <w:rPr>
          <w:rFonts w:ascii="Arial" w:hAnsi="Arial" w:cs="Arial"/>
          <w:iCs/>
          <w:sz w:val="20"/>
        </w:rPr>
        <w:t>Zjistí-li autor při výkonu dozoru projektanta nedodržení projektové dokumentace stavby, uvědomí bez zbytečného odkladu o této skutečnosti zadavatele a zhotovitele stavby. V odůvodněných případech uvede stručnou charakteristiku porušení dokumentace a tomu odpovídající důsledky.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sz w:val="20"/>
          <w:szCs w:val="20"/>
        </w:rPr>
      </w:pPr>
      <w:r w:rsidRPr="000E4850">
        <w:rPr>
          <w:rFonts w:ascii="Arial" w:hAnsi="Arial" w:cs="Arial"/>
          <w:sz w:val="20"/>
          <w:szCs w:val="20"/>
        </w:rPr>
        <w:t xml:space="preserve">Dozor projektanta bude vykonáván na vyžádání ze strany zadavatele. Předmět, termín a místo výkonu dozoru projektanta budou dohodnuty vždy individuálně při každé výzvě zadavatele. </w:t>
      </w: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sz w:val="20"/>
          <w:szCs w:val="20"/>
        </w:rPr>
      </w:pPr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  <w:r w:rsidRPr="000E4850">
        <w:rPr>
          <w:rFonts w:ascii="Arial" w:hAnsi="Arial" w:cs="Arial"/>
          <w:b/>
          <w:sz w:val="20"/>
          <w:szCs w:val="20"/>
          <w:u w:val="single"/>
        </w:rPr>
        <w:t>Místo plnění/realizace</w:t>
      </w:r>
    </w:p>
    <w:p w:rsidR="000E4850" w:rsidRPr="000E4850" w:rsidRDefault="000E4850" w:rsidP="000E4850">
      <w:pPr>
        <w:rPr>
          <w:rFonts w:ascii="Arial" w:hAnsi="Arial" w:cs="Arial"/>
          <w:bCs/>
          <w:sz w:val="20"/>
          <w:szCs w:val="20"/>
          <w:highlight w:val="yellow"/>
        </w:rPr>
      </w:pPr>
      <w:r w:rsidRPr="000E4850">
        <w:rPr>
          <w:rFonts w:ascii="Arial" w:hAnsi="Arial" w:cs="Arial"/>
          <w:sz w:val="20"/>
          <w:szCs w:val="20"/>
        </w:rPr>
        <w:t>Místo stavby – Kraj Vysočina, okres Jihlava</w:t>
      </w:r>
      <w:r w:rsidRPr="000E4850">
        <w:rPr>
          <w:rFonts w:ascii="Arial" w:eastAsia="Times New Roman" w:hAnsi="Arial" w:cs="Arial"/>
          <w:sz w:val="20"/>
          <w:szCs w:val="20"/>
          <w:lang w:eastAsia="ar-SA"/>
        </w:rPr>
        <w:t xml:space="preserve">, </w:t>
      </w:r>
      <w:r w:rsidRPr="000E4850">
        <w:rPr>
          <w:rFonts w:ascii="Arial" w:hAnsi="Arial" w:cs="Arial"/>
          <w:bCs/>
          <w:sz w:val="20"/>
          <w:szCs w:val="20"/>
        </w:rPr>
        <w:t xml:space="preserve">k. </w:t>
      </w:r>
      <w:proofErr w:type="spellStart"/>
      <w:r w:rsidRPr="000E4850">
        <w:rPr>
          <w:rFonts w:ascii="Arial" w:hAnsi="Arial" w:cs="Arial"/>
          <w:bCs/>
          <w:sz w:val="20"/>
          <w:szCs w:val="20"/>
        </w:rPr>
        <w:t>ú.</w:t>
      </w:r>
      <w:proofErr w:type="spellEnd"/>
      <w:r w:rsidRPr="000E4850">
        <w:rPr>
          <w:rFonts w:ascii="Arial" w:hAnsi="Arial" w:cs="Arial"/>
          <w:bCs/>
          <w:sz w:val="20"/>
          <w:szCs w:val="20"/>
        </w:rPr>
        <w:t xml:space="preserve"> Polná</w:t>
      </w:r>
    </w:p>
    <w:p w:rsidR="000E4850" w:rsidRDefault="000E4850" w:rsidP="000E4850">
      <w:pPr>
        <w:rPr>
          <w:rFonts w:ascii="Arial" w:hAnsi="Arial" w:cs="Arial"/>
          <w:sz w:val="20"/>
          <w:szCs w:val="20"/>
          <w:highlight w:val="yellow"/>
        </w:rPr>
      </w:pPr>
    </w:p>
    <w:p w:rsidR="008564C2" w:rsidRPr="000E4850" w:rsidRDefault="008564C2" w:rsidP="000E4850">
      <w:pPr>
        <w:rPr>
          <w:rFonts w:ascii="Arial" w:hAnsi="Arial" w:cs="Arial"/>
          <w:sz w:val="20"/>
          <w:szCs w:val="20"/>
          <w:highlight w:val="yellow"/>
        </w:rPr>
      </w:pPr>
      <w:bookmarkStart w:id="0" w:name="_GoBack"/>
      <w:bookmarkEnd w:id="0"/>
    </w:p>
    <w:p w:rsidR="000E4850" w:rsidRPr="000E4850" w:rsidRDefault="000E4850" w:rsidP="000E4850">
      <w:pPr>
        <w:overflowPunct w:val="0"/>
        <w:autoSpaceDE w:val="0"/>
        <w:autoSpaceDN w:val="0"/>
        <w:adjustRightInd w:val="0"/>
        <w:spacing w:after="120" w:line="240" w:lineRule="auto"/>
        <w:jc w:val="both"/>
        <w:textAlignment w:val="baseline"/>
        <w:rPr>
          <w:rFonts w:ascii="Arial" w:hAnsi="Arial" w:cs="Arial"/>
          <w:b/>
          <w:sz w:val="20"/>
          <w:szCs w:val="20"/>
          <w:u w:val="single"/>
        </w:rPr>
      </w:pPr>
      <w:r w:rsidRPr="000E4850">
        <w:rPr>
          <w:rFonts w:ascii="Arial" w:hAnsi="Arial" w:cs="Arial"/>
          <w:b/>
          <w:sz w:val="20"/>
          <w:szCs w:val="20"/>
          <w:u w:val="single"/>
        </w:rPr>
        <w:lastRenderedPageBreak/>
        <w:t>Lhůty plnění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6040"/>
        <w:gridCol w:w="3022"/>
      </w:tblGrid>
      <w:tr w:rsidR="000E4850" w:rsidRPr="000E4850" w:rsidTr="00F62E98">
        <w:tc>
          <w:tcPr>
            <w:tcW w:w="6040" w:type="dxa"/>
            <w:shd w:val="clear" w:color="auto" w:fill="auto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Zahájení realizace</w:t>
            </w:r>
          </w:p>
        </w:tc>
        <w:tc>
          <w:tcPr>
            <w:tcW w:w="3022" w:type="dxa"/>
            <w:shd w:val="clear" w:color="auto" w:fill="auto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ihned po nabytí účinnosti smlouvy</w:t>
            </w:r>
          </w:p>
        </w:tc>
      </w:tr>
      <w:tr w:rsidR="000E4850" w:rsidRPr="000E4850" w:rsidTr="00F62E98">
        <w:tc>
          <w:tcPr>
            <w:tcW w:w="6040" w:type="dxa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Dokumentace DPS (koncept)</w:t>
            </w:r>
          </w:p>
        </w:tc>
        <w:tc>
          <w:tcPr>
            <w:tcW w:w="3022" w:type="dxa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do 120 dnů od nabytí účinnosti smlouvy</w:t>
            </w:r>
          </w:p>
        </w:tc>
      </w:tr>
      <w:tr w:rsidR="000E4850" w:rsidRPr="000E4850" w:rsidTr="00F62E98">
        <w:tc>
          <w:tcPr>
            <w:tcW w:w="6040" w:type="dxa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Dokumentace DPS (čistopis, odsouhlasený objednatelem)</w:t>
            </w:r>
          </w:p>
        </w:tc>
        <w:tc>
          <w:tcPr>
            <w:tcW w:w="3022" w:type="dxa"/>
            <w:shd w:val="clear" w:color="auto" w:fill="auto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do 60 dnů od předání konceptu</w:t>
            </w:r>
          </w:p>
        </w:tc>
      </w:tr>
      <w:tr w:rsidR="000E4850" w:rsidRPr="000E4850" w:rsidTr="00F62E98">
        <w:tc>
          <w:tcPr>
            <w:tcW w:w="6040" w:type="dxa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Podání žádosti o povolení záměru</w:t>
            </w:r>
          </w:p>
        </w:tc>
        <w:tc>
          <w:tcPr>
            <w:tcW w:w="3022" w:type="dxa"/>
            <w:shd w:val="clear" w:color="auto" w:fill="auto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 xml:space="preserve">do 30 dnů od dokončení IČ </w:t>
            </w:r>
          </w:p>
        </w:tc>
      </w:tr>
      <w:tr w:rsidR="000E4850" w:rsidRPr="000E4850" w:rsidTr="00F62E98">
        <w:tc>
          <w:tcPr>
            <w:tcW w:w="6040" w:type="dxa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Dokumentace PDPS vč. rozpočtu (čistopis, odsouhlasený objednatelem)</w:t>
            </w:r>
          </w:p>
        </w:tc>
        <w:tc>
          <w:tcPr>
            <w:tcW w:w="3022" w:type="dxa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do 60 dnů od vydání pravomocného povolení</w:t>
            </w:r>
          </w:p>
        </w:tc>
      </w:tr>
      <w:tr w:rsidR="000E4850" w:rsidRPr="000E4850" w:rsidTr="00F62E98">
        <w:tc>
          <w:tcPr>
            <w:tcW w:w="6040" w:type="dxa"/>
            <w:shd w:val="clear" w:color="auto" w:fill="auto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trike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Předpoklad zahájení výkonu dozoru projektanta</w:t>
            </w:r>
          </w:p>
        </w:tc>
        <w:tc>
          <w:tcPr>
            <w:tcW w:w="3022" w:type="dxa"/>
            <w:shd w:val="clear" w:color="auto" w:fill="auto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trike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</w:rPr>
              <w:t>do 60 měsíců od předání čistopisu PDPS</w:t>
            </w:r>
          </w:p>
        </w:tc>
      </w:tr>
      <w:tr w:rsidR="000E4850" w:rsidRPr="000E4850" w:rsidTr="00F62E98">
        <w:tc>
          <w:tcPr>
            <w:tcW w:w="6040" w:type="dxa"/>
            <w:shd w:val="clear" w:color="auto" w:fill="auto"/>
          </w:tcPr>
          <w:p w:rsidR="000E4850" w:rsidRPr="000E4850" w:rsidRDefault="000E4850" w:rsidP="00F62E98">
            <w:pPr>
              <w:overflowPunct w:val="0"/>
              <w:autoSpaceDE w:val="0"/>
              <w:autoSpaceDN w:val="0"/>
              <w:adjustRightInd w:val="0"/>
              <w:ind w:left="4950" w:hanging="4950"/>
              <w:textAlignment w:val="baseline"/>
              <w:rPr>
                <w:rFonts w:ascii="Arial" w:eastAsia="Times New Roman" w:hAnsi="Arial" w:cs="Arial"/>
                <w:sz w:val="20"/>
                <w:szCs w:val="20"/>
                <w:lang w:eastAsia="cs-CZ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Změna záměru (čistopis, včetně soupisů </w:t>
            </w:r>
          </w:p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 xml:space="preserve">prací, odsouhlasený objednatelem a TDS)                </w:t>
            </w:r>
          </w:p>
        </w:tc>
        <w:tc>
          <w:tcPr>
            <w:tcW w:w="3022" w:type="dxa"/>
            <w:shd w:val="clear" w:color="auto" w:fill="auto"/>
          </w:tcPr>
          <w:p w:rsidR="000E4850" w:rsidRPr="000E4850" w:rsidRDefault="000E4850" w:rsidP="00F62E98">
            <w:pPr>
              <w:tabs>
                <w:tab w:val="left" w:pos="993"/>
              </w:tabs>
              <w:spacing w:after="120"/>
              <w:jc w:val="both"/>
              <w:rPr>
                <w:rFonts w:ascii="Arial" w:eastAsia="Times New Roman" w:hAnsi="Arial" w:cs="Arial"/>
                <w:sz w:val="20"/>
                <w:szCs w:val="20"/>
              </w:rPr>
            </w:pPr>
            <w:r w:rsidRPr="000E4850">
              <w:rPr>
                <w:rFonts w:ascii="Arial" w:eastAsia="Times New Roman" w:hAnsi="Arial" w:cs="Arial"/>
                <w:sz w:val="20"/>
                <w:szCs w:val="20"/>
                <w:lang w:eastAsia="cs-CZ"/>
              </w:rPr>
              <w:t>do 15 dnů od zjištění, následně neprodleně zajistit ostatní požadované přílohy (pokud během stavby nastane změna záměru)</w:t>
            </w:r>
          </w:p>
        </w:tc>
      </w:tr>
    </w:tbl>
    <w:p w:rsidR="000E4850" w:rsidRPr="000E4850" w:rsidRDefault="000E4850" w:rsidP="000E4850">
      <w:pPr>
        <w:spacing w:before="240"/>
        <w:rPr>
          <w:rFonts w:ascii="Arial" w:eastAsia="Times New Roman" w:hAnsi="Arial" w:cs="Arial"/>
          <w:bCs/>
          <w:kern w:val="32"/>
          <w:sz w:val="20"/>
          <w:szCs w:val="20"/>
        </w:rPr>
      </w:pPr>
    </w:p>
    <w:p w:rsidR="000E4850" w:rsidRPr="000E4850" w:rsidRDefault="000E4850" w:rsidP="005E65B7">
      <w:pPr>
        <w:jc w:val="both"/>
        <w:rPr>
          <w:rFonts w:ascii="Arial" w:hAnsi="Arial" w:cs="Arial"/>
          <w:b/>
          <w:sz w:val="20"/>
          <w:szCs w:val="20"/>
          <w:u w:val="single"/>
        </w:rPr>
      </w:pPr>
    </w:p>
    <w:sectPr w:rsidR="000E4850" w:rsidRPr="000E4850" w:rsidSect="0034703B">
      <w:headerReference w:type="default" r:id="rId12"/>
      <w:footerReference w:type="default" r:id="rId13"/>
      <w:pgSz w:w="11906" w:h="16838"/>
      <w:pgMar w:top="1477" w:right="1133" w:bottom="1135" w:left="1417" w:header="1135" w:footer="76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27F79" w:rsidRDefault="00D27F79" w:rsidP="00033EC2">
      <w:pPr>
        <w:spacing w:after="0" w:line="240" w:lineRule="auto"/>
      </w:pPr>
      <w:r>
        <w:separator/>
      </w:r>
    </w:p>
  </w:endnote>
  <w:endnote w:type="continuationSeparator" w:id="0">
    <w:p w:rsidR="00D27F79" w:rsidRDefault="00D27F79" w:rsidP="00033EC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5FA5" w:rsidRPr="00B545BC" w:rsidRDefault="003A6635" w:rsidP="001C3BF8">
    <w:pPr>
      <w:pStyle w:val="Zpat"/>
      <w:pBdr>
        <w:top w:val="single" w:sz="4" w:space="1" w:color="auto"/>
      </w:pBdr>
      <w:spacing w:before="120"/>
      <w:rPr>
        <w:rFonts w:ascii="Arial" w:hAnsi="Arial" w:cs="Arial"/>
        <w:sz w:val="16"/>
        <w:szCs w:val="16"/>
      </w:rPr>
    </w:pPr>
    <w:r>
      <w:rPr>
        <w:rFonts w:ascii="Times New Roman" w:hAnsi="Times New Roman"/>
      </w:rPr>
      <w:tab/>
    </w:r>
    <w:r w:rsidRPr="00B545BC">
      <w:rPr>
        <w:rFonts w:ascii="Arial" w:hAnsi="Arial" w:cs="Arial"/>
        <w:sz w:val="16"/>
        <w:szCs w:val="16"/>
      </w:rPr>
      <w:t xml:space="preserve">Stránka </w:t>
    </w:r>
    <w:r w:rsidR="00B0273E" w:rsidRPr="00B545BC">
      <w:rPr>
        <w:rFonts w:ascii="Arial" w:hAnsi="Arial" w:cs="Arial"/>
        <w:b/>
        <w:sz w:val="16"/>
        <w:szCs w:val="16"/>
      </w:rPr>
      <w:fldChar w:fldCharType="begin"/>
    </w:r>
    <w:r w:rsidRPr="00B545BC">
      <w:rPr>
        <w:rFonts w:ascii="Arial" w:hAnsi="Arial" w:cs="Arial"/>
        <w:b/>
        <w:sz w:val="16"/>
        <w:szCs w:val="16"/>
      </w:rPr>
      <w:instrText>PAGE</w:instrText>
    </w:r>
    <w:r w:rsidR="00B0273E" w:rsidRPr="00B545BC">
      <w:rPr>
        <w:rFonts w:ascii="Arial" w:hAnsi="Arial" w:cs="Arial"/>
        <w:b/>
        <w:sz w:val="16"/>
        <w:szCs w:val="16"/>
      </w:rPr>
      <w:fldChar w:fldCharType="separate"/>
    </w:r>
    <w:r w:rsidR="008564C2">
      <w:rPr>
        <w:rFonts w:ascii="Arial" w:hAnsi="Arial" w:cs="Arial"/>
        <w:b/>
        <w:noProof/>
        <w:sz w:val="16"/>
        <w:szCs w:val="16"/>
      </w:rPr>
      <w:t>7</w:t>
    </w:r>
    <w:r w:rsidR="00B0273E" w:rsidRPr="00B545BC">
      <w:rPr>
        <w:rFonts w:ascii="Arial" w:hAnsi="Arial" w:cs="Arial"/>
        <w:b/>
        <w:sz w:val="16"/>
        <w:szCs w:val="16"/>
      </w:rPr>
      <w:fldChar w:fldCharType="end"/>
    </w:r>
    <w:r w:rsidRPr="00B545BC">
      <w:rPr>
        <w:rFonts w:ascii="Arial" w:hAnsi="Arial" w:cs="Arial"/>
        <w:sz w:val="16"/>
        <w:szCs w:val="16"/>
      </w:rPr>
      <w:t xml:space="preserve"> z </w:t>
    </w:r>
    <w:r w:rsidR="00B0273E" w:rsidRPr="00B545BC">
      <w:rPr>
        <w:rFonts w:ascii="Arial" w:hAnsi="Arial" w:cs="Arial"/>
        <w:b/>
        <w:sz w:val="16"/>
        <w:szCs w:val="16"/>
      </w:rPr>
      <w:fldChar w:fldCharType="begin"/>
    </w:r>
    <w:r w:rsidRPr="00B545BC">
      <w:rPr>
        <w:rFonts w:ascii="Arial" w:hAnsi="Arial" w:cs="Arial"/>
        <w:b/>
        <w:sz w:val="16"/>
        <w:szCs w:val="16"/>
      </w:rPr>
      <w:instrText>NUMPAGES</w:instrText>
    </w:r>
    <w:r w:rsidR="00B0273E" w:rsidRPr="00B545BC">
      <w:rPr>
        <w:rFonts w:ascii="Arial" w:hAnsi="Arial" w:cs="Arial"/>
        <w:b/>
        <w:sz w:val="16"/>
        <w:szCs w:val="16"/>
      </w:rPr>
      <w:fldChar w:fldCharType="separate"/>
    </w:r>
    <w:r w:rsidR="008564C2">
      <w:rPr>
        <w:rFonts w:ascii="Arial" w:hAnsi="Arial" w:cs="Arial"/>
        <w:b/>
        <w:noProof/>
        <w:sz w:val="16"/>
        <w:szCs w:val="16"/>
      </w:rPr>
      <w:t>7</w:t>
    </w:r>
    <w:r w:rsidR="00B0273E" w:rsidRPr="00B545BC">
      <w:rPr>
        <w:rFonts w:ascii="Arial" w:hAnsi="Arial" w:cs="Arial"/>
        <w:b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27F79" w:rsidRDefault="00D27F79" w:rsidP="00033EC2">
      <w:pPr>
        <w:spacing w:after="0" w:line="240" w:lineRule="auto"/>
      </w:pPr>
      <w:r>
        <w:separator/>
      </w:r>
    </w:p>
  </w:footnote>
  <w:footnote w:type="continuationSeparator" w:id="0">
    <w:p w:rsidR="00D27F79" w:rsidRDefault="00D27F79" w:rsidP="00033EC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EC5DCC" w:rsidRDefault="00EC5DCC" w:rsidP="00E02F34">
    <w:pPr>
      <w:pStyle w:val="Zhlav"/>
      <w:pBdr>
        <w:bottom w:val="single" w:sz="4" w:space="1" w:color="auto"/>
      </w:pBdr>
      <w:jc w:val="right"/>
      <w:rPr>
        <w:rFonts w:ascii="Arial" w:hAnsi="Arial" w:cs="Arial"/>
        <w:sz w:val="16"/>
        <w:szCs w:val="16"/>
      </w:rPr>
    </w:pPr>
    <w:r>
      <w:rPr>
        <w:noProof/>
        <w:lang w:eastAsia="cs-CZ"/>
      </w:rPr>
      <w:drawing>
        <wp:anchor distT="0" distB="0" distL="114300" distR="114300" simplePos="0" relativeHeight="251658240" behindDoc="0" locked="0" layoutInCell="1" allowOverlap="1" wp14:anchorId="68584F08" wp14:editId="1EDCCB10">
          <wp:simplePos x="0" y="0"/>
          <wp:positionH relativeFrom="margin">
            <wp:align>left</wp:align>
          </wp:positionH>
          <wp:positionV relativeFrom="margin">
            <wp:posOffset>-961447</wp:posOffset>
          </wp:positionV>
          <wp:extent cx="2600000" cy="580952"/>
          <wp:effectExtent l="0" t="0" r="0" b="0"/>
          <wp:wrapSquare wrapText="bothSides"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Znak KSUSV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600000" cy="580952"/>
                  </a:xfrm>
                  <a:prstGeom prst="rect">
                    <a:avLst/>
                  </a:prstGeom>
                  <a:ln>
                    <a:noFill/>
                  </a:ln>
                </pic:spPr>
              </pic:pic>
            </a:graphicData>
          </a:graphic>
        </wp:anchor>
      </w:drawing>
    </w:r>
  </w:p>
  <w:p w:rsidR="00E02F34" w:rsidRPr="00955CD4" w:rsidRDefault="00955CD4" w:rsidP="00E02F34">
    <w:pPr>
      <w:pStyle w:val="Zhlav"/>
      <w:pBdr>
        <w:bottom w:val="single" w:sz="4" w:space="1" w:color="auto"/>
      </w:pBdr>
      <w:jc w:val="right"/>
      <w:rPr>
        <w:rFonts w:ascii="Arial" w:hAnsi="Arial" w:cs="Arial"/>
        <w:b/>
        <w:sz w:val="16"/>
        <w:szCs w:val="16"/>
      </w:rPr>
    </w:pPr>
    <w:r w:rsidRPr="00955CD4">
      <w:rPr>
        <w:rFonts w:ascii="Arial" w:hAnsi="Arial" w:cs="Arial"/>
        <w:b/>
        <w:sz w:val="16"/>
        <w:szCs w:val="16"/>
      </w:rPr>
      <w:t>Příloha A1</w:t>
    </w:r>
  </w:p>
  <w:p w:rsidR="00B4322A" w:rsidRDefault="00B4322A" w:rsidP="0085017D">
    <w:pPr>
      <w:pStyle w:val="Zhlav"/>
      <w:jc w:val="righ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B0862833"/>
    <w:multiLevelType w:val="hybridMultilevel"/>
    <w:tmpl w:val="53EE87E6"/>
    <w:lvl w:ilvl="0" w:tplc="FFFFFFFF">
      <w:start w:val="1"/>
      <w:numFmt w:val="bullet"/>
      <w:lvlText w:val="•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1" w15:restartNumberingAfterBreak="0">
    <w:nsid w:val="D01FCAD7"/>
    <w:multiLevelType w:val="hybridMultilevel"/>
    <w:tmpl w:val="9DCF10E4"/>
    <w:lvl w:ilvl="0" w:tplc="FFFFFFFF">
      <w:start w:val="1"/>
      <w:numFmt w:val="bullet"/>
      <w:lvlText w:val="•"/>
      <w:lvlJc w:val="left"/>
      <w:pPr>
        <w:ind w:left="0" w:firstLine="0"/>
      </w:pPr>
    </w:lvl>
    <w:lvl w:ilvl="1" w:tplc="FFFFFFFF">
      <w:numFmt w:val="decimal"/>
      <w:lvlText w:val=""/>
      <w:lvlJc w:val="left"/>
      <w:pPr>
        <w:ind w:left="0" w:firstLine="0"/>
      </w:pPr>
    </w:lvl>
    <w:lvl w:ilvl="2" w:tplc="FFFFFFFF">
      <w:numFmt w:val="decimal"/>
      <w:lvlText w:val=""/>
      <w:lvlJc w:val="left"/>
      <w:pPr>
        <w:ind w:left="0" w:firstLine="0"/>
      </w:pPr>
    </w:lvl>
    <w:lvl w:ilvl="3" w:tplc="FFFFFFFF">
      <w:numFmt w:val="decimal"/>
      <w:lvlText w:val=""/>
      <w:lvlJc w:val="left"/>
      <w:pPr>
        <w:ind w:left="0" w:firstLine="0"/>
      </w:pPr>
    </w:lvl>
    <w:lvl w:ilvl="4" w:tplc="FFFFFFFF">
      <w:numFmt w:val="decimal"/>
      <w:lvlText w:val=""/>
      <w:lvlJc w:val="left"/>
      <w:pPr>
        <w:ind w:left="0" w:firstLine="0"/>
      </w:pPr>
    </w:lvl>
    <w:lvl w:ilvl="5" w:tplc="FFFFFFFF">
      <w:numFmt w:val="decimal"/>
      <w:lvlText w:val=""/>
      <w:lvlJc w:val="left"/>
      <w:pPr>
        <w:ind w:left="0" w:firstLine="0"/>
      </w:pPr>
    </w:lvl>
    <w:lvl w:ilvl="6" w:tplc="FFFFFFFF">
      <w:numFmt w:val="decimal"/>
      <w:lvlText w:val=""/>
      <w:lvlJc w:val="left"/>
      <w:pPr>
        <w:ind w:left="0" w:firstLine="0"/>
      </w:pPr>
    </w:lvl>
    <w:lvl w:ilvl="7" w:tplc="FFFFFFFF">
      <w:numFmt w:val="decimal"/>
      <w:lvlText w:val=""/>
      <w:lvlJc w:val="left"/>
      <w:pPr>
        <w:ind w:left="0" w:firstLine="0"/>
      </w:pPr>
    </w:lvl>
    <w:lvl w:ilvl="8" w:tplc="FFFFFFFF">
      <w:numFmt w:val="decimal"/>
      <w:lvlText w:val=""/>
      <w:lvlJc w:val="left"/>
      <w:pPr>
        <w:ind w:left="0" w:firstLine="0"/>
      </w:pPr>
    </w:lvl>
  </w:abstractNum>
  <w:abstractNum w:abstractNumId="2" w15:restartNumberingAfterBreak="0">
    <w:nsid w:val="030B7AD1"/>
    <w:multiLevelType w:val="hybridMultilevel"/>
    <w:tmpl w:val="D8FAA5D6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0B772B"/>
    <w:multiLevelType w:val="hybridMultilevel"/>
    <w:tmpl w:val="0DB0825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8F2FB5"/>
    <w:multiLevelType w:val="hybridMultilevel"/>
    <w:tmpl w:val="E41225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432BA5"/>
    <w:multiLevelType w:val="hybridMultilevel"/>
    <w:tmpl w:val="E568826E"/>
    <w:lvl w:ilvl="0" w:tplc="7310BDE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4147DDD"/>
    <w:multiLevelType w:val="hybridMultilevel"/>
    <w:tmpl w:val="AA506968"/>
    <w:lvl w:ilvl="0" w:tplc="B126AF88">
      <w:start w:val="1"/>
      <w:numFmt w:val="bullet"/>
      <w:lvlText w:val="-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01325D2"/>
    <w:multiLevelType w:val="hybridMultilevel"/>
    <w:tmpl w:val="E98C2A3E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502CF5"/>
    <w:multiLevelType w:val="hybridMultilevel"/>
    <w:tmpl w:val="D4AC5F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7313BF7"/>
    <w:multiLevelType w:val="hybridMultilevel"/>
    <w:tmpl w:val="6E1456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8E8008B"/>
    <w:multiLevelType w:val="hybridMultilevel"/>
    <w:tmpl w:val="0C06BD9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BB61089"/>
    <w:multiLevelType w:val="hybridMultilevel"/>
    <w:tmpl w:val="3DEE1E10"/>
    <w:lvl w:ilvl="0" w:tplc="ADEA56C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CD35F1C"/>
    <w:multiLevelType w:val="hybridMultilevel"/>
    <w:tmpl w:val="C7860E06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1F407DE"/>
    <w:multiLevelType w:val="hybridMultilevel"/>
    <w:tmpl w:val="D0C0FBDA"/>
    <w:lvl w:ilvl="0" w:tplc="16C4C76A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31C6455"/>
    <w:multiLevelType w:val="hybridMultilevel"/>
    <w:tmpl w:val="6C04401E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96489C"/>
    <w:multiLevelType w:val="hybridMultilevel"/>
    <w:tmpl w:val="420C25E8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1396C2E"/>
    <w:multiLevelType w:val="hybridMultilevel"/>
    <w:tmpl w:val="4FD6154C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87315C"/>
    <w:multiLevelType w:val="hybridMultilevel"/>
    <w:tmpl w:val="D7B03040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BDC0508"/>
    <w:multiLevelType w:val="hybridMultilevel"/>
    <w:tmpl w:val="166685AC"/>
    <w:lvl w:ilvl="0" w:tplc="E4B80034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1AC7D26"/>
    <w:multiLevelType w:val="hybridMultilevel"/>
    <w:tmpl w:val="D236F7FC"/>
    <w:lvl w:ilvl="0" w:tplc="7310BDE2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360"/>
        </w:tabs>
        <w:ind w:left="36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1080"/>
        </w:tabs>
        <w:ind w:left="108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2520"/>
        </w:tabs>
        <w:ind w:left="252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3240"/>
        </w:tabs>
        <w:ind w:left="324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3960"/>
        </w:tabs>
        <w:ind w:left="396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4680"/>
        </w:tabs>
        <w:ind w:left="468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5400"/>
        </w:tabs>
        <w:ind w:left="5400" w:hanging="180"/>
      </w:pPr>
    </w:lvl>
  </w:abstractNum>
  <w:abstractNum w:abstractNumId="20" w15:restartNumberingAfterBreak="0">
    <w:nsid w:val="58DC31F6"/>
    <w:multiLevelType w:val="hybridMultilevel"/>
    <w:tmpl w:val="EF66D3E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A0A6FEE"/>
    <w:multiLevelType w:val="hybridMultilevel"/>
    <w:tmpl w:val="99E2FD7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751D2D"/>
    <w:multiLevelType w:val="hybridMultilevel"/>
    <w:tmpl w:val="F340767E"/>
    <w:lvl w:ilvl="0" w:tplc="7310BDE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7453C2"/>
    <w:multiLevelType w:val="hybridMultilevel"/>
    <w:tmpl w:val="7884C86E"/>
    <w:lvl w:ilvl="0" w:tplc="7310BDE2">
      <w:numFmt w:val="bullet"/>
      <w:lvlText w:val="-"/>
      <w:lvlJc w:val="left"/>
      <w:pPr>
        <w:ind w:left="360" w:hanging="360"/>
      </w:pPr>
      <w:rPr>
        <w:rFonts w:ascii="Times New Roman" w:eastAsia="Times New Roman" w:hAnsi="Times New Roman" w:cs="Times New Roman" w:hint="default"/>
      </w:rPr>
    </w:lvl>
    <w:lvl w:ilvl="1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6BFA3587"/>
    <w:multiLevelType w:val="hybridMultilevel"/>
    <w:tmpl w:val="82DEE3E4"/>
    <w:lvl w:ilvl="0" w:tplc="D99EFAC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C5078F7"/>
    <w:multiLevelType w:val="hybridMultilevel"/>
    <w:tmpl w:val="B74A42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FE73A41"/>
    <w:multiLevelType w:val="hybridMultilevel"/>
    <w:tmpl w:val="159AFC2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24"/>
  </w:num>
  <w:num w:numId="3">
    <w:abstractNumId w:val="2"/>
  </w:num>
  <w:num w:numId="4">
    <w:abstractNumId w:val="16"/>
  </w:num>
  <w:num w:numId="5">
    <w:abstractNumId w:val="12"/>
  </w:num>
  <w:num w:numId="6">
    <w:abstractNumId w:val="15"/>
  </w:num>
  <w:num w:numId="7">
    <w:abstractNumId w:val="14"/>
  </w:num>
  <w:num w:numId="8">
    <w:abstractNumId w:val="7"/>
  </w:num>
  <w:num w:numId="9">
    <w:abstractNumId w:val="13"/>
  </w:num>
  <w:num w:numId="10">
    <w:abstractNumId w:val="6"/>
  </w:num>
  <w:num w:numId="11">
    <w:abstractNumId w:val="8"/>
  </w:num>
  <w:num w:numId="12">
    <w:abstractNumId w:val="3"/>
  </w:num>
  <w:num w:numId="13">
    <w:abstractNumId w:val="9"/>
  </w:num>
  <w:num w:numId="14">
    <w:abstractNumId w:val="25"/>
  </w:num>
  <w:num w:numId="15">
    <w:abstractNumId w:val="21"/>
  </w:num>
  <w:num w:numId="16">
    <w:abstractNumId w:val="4"/>
  </w:num>
  <w:num w:numId="17">
    <w:abstractNumId w:val="10"/>
  </w:num>
  <w:num w:numId="18">
    <w:abstractNumId w:val="26"/>
  </w:num>
  <w:num w:numId="19">
    <w:abstractNumId w:val="20"/>
  </w:num>
  <w:num w:numId="20">
    <w:abstractNumId w:val="18"/>
  </w:num>
  <w:num w:numId="21">
    <w:abstractNumId w:val="5"/>
  </w:num>
  <w:num w:numId="22">
    <w:abstractNumId w:val="22"/>
  </w:num>
  <w:num w:numId="23">
    <w:abstractNumId w:val="19"/>
  </w:num>
  <w:num w:numId="24">
    <w:abstractNumId w:val="1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7"/>
  </w:num>
  <w:num w:numId="26">
    <w:abstractNumId w:val="22"/>
  </w:num>
  <w:num w:numId="27">
    <w:abstractNumId w:val="23"/>
  </w:num>
  <w:num w:numId="28">
    <w:abstractNumId w:val="1"/>
  </w:num>
  <w:num w:numId="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3EC2"/>
    <w:rsid w:val="0001297C"/>
    <w:rsid w:val="00031B59"/>
    <w:rsid w:val="00032DF2"/>
    <w:rsid w:val="00033EC2"/>
    <w:rsid w:val="00077603"/>
    <w:rsid w:val="00091A0B"/>
    <w:rsid w:val="000E4850"/>
    <w:rsid w:val="00105330"/>
    <w:rsid w:val="001310C6"/>
    <w:rsid w:val="00143858"/>
    <w:rsid w:val="00150F88"/>
    <w:rsid w:val="00153F4E"/>
    <w:rsid w:val="0016103B"/>
    <w:rsid w:val="001632A3"/>
    <w:rsid w:val="00167A1E"/>
    <w:rsid w:val="00172C17"/>
    <w:rsid w:val="00174D7F"/>
    <w:rsid w:val="001B46DA"/>
    <w:rsid w:val="001C3BF8"/>
    <w:rsid w:val="001C4EBD"/>
    <w:rsid w:val="001C5F54"/>
    <w:rsid w:val="001C7DD6"/>
    <w:rsid w:val="001D717D"/>
    <w:rsid w:val="001E3591"/>
    <w:rsid w:val="001E3B69"/>
    <w:rsid w:val="001F1E8D"/>
    <w:rsid w:val="00201C8A"/>
    <w:rsid w:val="00206A81"/>
    <w:rsid w:val="00207AAA"/>
    <w:rsid w:val="0021028E"/>
    <w:rsid w:val="00227F69"/>
    <w:rsid w:val="00245CC3"/>
    <w:rsid w:val="0024717C"/>
    <w:rsid w:val="002505CD"/>
    <w:rsid w:val="002715B4"/>
    <w:rsid w:val="00272769"/>
    <w:rsid w:val="002819DD"/>
    <w:rsid w:val="00294439"/>
    <w:rsid w:val="002A2808"/>
    <w:rsid w:val="002A70F8"/>
    <w:rsid w:val="002C3FF4"/>
    <w:rsid w:val="002D116F"/>
    <w:rsid w:val="002D2AC8"/>
    <w:rsid w:val="003012C4"/>
    <w:rsid w:val="00317A3B"/>
    <w:rsid w:val="0032208A"/>
    <w:rsid w:val="00322187"/>
    <w:rsid w:val="00335791"/>
    <w:rsid w:val="0034703B"/>
    <w:rsid w:val="00355D64"/>
    <w:rsid w:val="003634A2"/>
    <w:rsid w:val="00395D4F"/>
    <w:rsid w:val="003A6635"/>
    <w:rsid w:val="003B523E"/>
    <w:rsid w:val="003C0016"/>
    <w:rsid w:val="003C5BC7"/>
    <w:rsid w:val="003D36F1"/>
    <w:rsid w:val="00405F21"/>
    <w:rsid w:val="00413BFA"/>
    <w:rsid w:val="004177E6"/>
    <w:rsid w:val="00433246"/>
    <w:rsid w:val="0043662A"/>
    <w:rsid w:val="00437E4E"/>
    <w:rsid w:val="00457474"/>
    <w:rsid w:val="0047400F"/>
    <w:rsid w:val="00487EB6"/>
    <w:rsid w:val="004B1D1B"/>
    <w:rsid w:val="004B2925"/>
    <w:rsid w:val="004B3A5B"/>
    <w:rsid w:val="004B4D66"/>
    <w:rsid w:val="004B5C71"/>
    <w:rsid w:val="004C2E7C"/>
    <w:rsid w:val="004C3D34"/>
    <w:rsid w:val="004E26C7"/>
    <w:rsid w:val="004F4618"/>
    <w:rsid w:val="005252AA"/>
    <w:rsid w:val="0052571B"/>
    <w:rsid w:val="005562DB"/>
    <w:rsid w:val="00575531"/>
    <w:rsid w:val="00580C51"/>
    <w:rsid w:val="005875BA"/>
    <w:rsid w:val="005A2999"/>
    <w:rsid w:val="005A3E25"/>
    <w:rsid w:val="005B1FC8"/>
    <w:rsid w:val="005E469A"/>
    <w:rsid w:val="005E59F4"/>
    <w:rsid w:val="005E65B7"/>
    <w:rsid w:val="00605337"/>
    <w:rsid w:val="0060692D"/>
    <w:rsid w:val="00627D75"/>
    <w:rsid w:val="00633927"/>
    <w:rsid w:val="00635E1D"/>
    <w:rsid w:val="00651DA9"/>
    <w:rsid w:val="00651F7A"/>
    <w:rsid w:val="00660B95"/>
    <w:rsid w:val="00683DAC"/>
    <w:rsid w:val="006916B1"/>
    <w:rsid w:val="006A0285"/>
    <w:rsid w:val="006A3AD9"/>
    <w:rsid w:val="006B7CDC"/>
    <w:rsid w:val="006C3F4B"/>
    <w:rsid w:val="00723546"/>
    <w:rsid w:val="007349F9"/>
    <w:rsid w:val="007462B8"/>
    <w:rsid w:val="007524A0"/>
    <w:rsid w:val="00756EC0"/>
    <w:rsid w:val="0076591D"/>
    <w:rsid w:val="00771D72"/>
    <w:rsid w:val="00781C90"/>
    <w:rsid w:val="007908F6"/>
    <w:rsid w:val="00794F75"/>
    <w:rsid w:val="007D1374"/>
    <w:rsid w:val="007E6FEB"/>
    <w:rsid w:val="007F411D"/>
    <w:rsid w:val="007F463F"/>
    <w:rsid w:val="008023D2"/>
    <w:rsid w:val="00817C5F"/>
    <w:rsid w:val="008209FA"/>
    <w:rsid w:val="00836C76"/>
    <w:rsid w:val="00844B90"/>
    <w:rsid w:val="00847C98"/>
    <w:rsid w:val="0085017D"/>
    <w:rsid w:val="008564C2"/>
    <w:rsid w:val="008661DA"/>
    <w:rsid w:val="008742AE"/>
    <w:rsid w:val="0088286F"/>
    <w:rsid w:val="0088350B"/>
    <w:rsid w:val="00883F6F"/>
    <w:rsid w:val="00884EBA"/>
    <w:rsid w:val="008B37FB"/>
    <w:rsid w:val="008B5E8C"/>
    <w:rsid w:val="008D4372"/>
    <w:rsid w:val="008E5B75"/>
    <w:rsid w:val="008F1380"/>
    <w:rsid w:val="008F2428"/>
    <w:rsid w:val="00903D67"/>
    <w:rsid w:val="009153D3"/>
    <w:rsid w:val="009333EF"/>
    <w:rsid w:val="00946275"/>
    <w:rsid w:val="009470C5"/>
    <w:rsid w:val="00955CD4"/>
    <w:rsid w:val="0095682B"/>
    <w:rsid w:val="00966055"/>
    <w:rsid w:val="00972FC3"/>
    <w:rsid w:val="00981014"/>
    <w:rsid w:val="009B0C47"/>
    <w:rsid w:val="009B37C8"/>
    <w:rsid w:val="009E174F"/>
    <w:rsid w:val="009E5449"/>
    <w:rsid w:val="00A02A92"/>
    <w:rsid w:val="00A02C1A"/>
    <w:rsid w:val="00A111D2"/>
    <w:rsid w:val="00A22581"/>
    <w:rsid w:val="00A258B6"/>
    <w:rsid w:val="00A333AD"/>
    <w:rsid w:val="00A44DF5"/>
    <w:rsid w:val="00A63D56"/>
    <w:rsid w:val="00A93CA0"/>
    <w:rsid w:val="00AA14FB"/>
    <w:rsid w:val="00AA21EC"/>
    <w:rsid w:val="00AA42F6"/>
    <w:rsid w:val="00AA667C"/>
    <w:rsid w:val="00AA76D7"/>
    <w:rsid w:val="00AB286A"/>
    <w:rsid w:val="00AC4AB1"/>
    <w:rsid w:val="00AE7DDA"/>
    <w:rsid w:val="00AF5D3F"/>
    <w:rsid w:val="00B0273E"/>
    <w:rsid w:val="00B31119"/>
    <w:rsid w:val="00B3596C"/>
    <w:rsid w:val="00B41130"/>
    <w:rsid w:val="00B4147B"/>
    <w:rsid w:val="00B4322A"/>
    <w:rsid w:val="00B44286"/>
    <w:rsid w:val="00B545BC"/>
    <w:rsid w:val="00B64492"/>
    <w:rsid w:val="00B72CB0"/>
    <w:rsid w:val="00BD08E8"/>
    <w:rsid w:val="00BD2DC3"/>
    <w:rsid w:val="00BE3B79"/>
    <w:rsid w:val="00BF4645"/>
    <w:rsid w:val="00C040A0"/>
    <w:rsid w:val="00C0508D"/>
    <w:rsid w:val="00C34F5B"/>
    <w:rsid w:val="00C52667"/>
    <w:rsid w:val="00C65520"/>
    <w:rsid w:val="00CB1CE3"/>
    <w:rsid w:val="00CF3EA0"/>
    <w:rsid w:val="00D1051F"/>
    <w:rsid w:val="00D21D1B"/>
    <w:rsid w:val="00D21DBE"/>
    <w:rsid w:val="00D24A4F"/>
    <w:rsid w:val="00D27F79"/>
    <w:rsid w:val="00D36F3C"/>
    <w:rsid w:val="00D55D6F"/>
    <w:rsid w:val="00D674D6"/>
    <w:rsid w:val="00D83014"/>
    <w:rsid w:val="00D9018D"/>
    <w:rsid w:val="00DA4DDF"/>
    <w:rsid w:val="00DA5742"/>
    <w:rsid w:val="00DB70B1"/>
    <w:rsid w:val="00DE107F"/>
    <w:rsid w:val="00DF3229"/>
    <w:rsid w:val="00E02F34"/>
    <w:rsid w:val="00E07484"/>
    <w:rsid w:val="00E12753"/>
    <w:rsid w:val="00E26473"/>
    <w:rsid w:val="00E336FE"/>
    <w:rsid w:val="00E36ADA"/>
    <w:rsid w:val="00E720EA"/>
    <w:rsid w:val="00EA03AD"/>
    <w:rsid w:val="00EC5DCC"/>
    <w:rsid w:val="00ED28F8"/>
    <w:rsid w:val="00ED43D1"/>
    <w:rsid w:val="00EE2E2A"/>
    <w:rsid w:val="00EE4017"/>
    <w:rsid w:val="00F06AAB"/>
    <w:rsid w:val="00F11900"/>
    <w:rsid w:val="00F15CA5"/>
    <w:rsid w:val="00F230F4"/>
    <w:rsid w:val="00F32EA7"/>
    <w:rsid w:val="00FA7FCA"/>
    <w:rsid w:val="00FB6A47"/>
    <w:rsid w:val="00FE35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5:docId w15:val="{2BE560C3-B162-4F71-BD1B-ED79D7665A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033EC2"/>
    <w:rPr>
      <w:rFonts w:ascii="Calibri" w:eastAsia="Calibri" w:hAnsi="Calibri" w:cs="Times New Roman"/>
    </w:rPr>
  </w:style>
  <w:style w:type="paragraph" w:styleId="Nadpis5">
    <w:name w:val="heading 5"/>
    <w:basedOn w:val="Normln"/>
    <w:next w:val="Normln"/>
    <w:link w:val="Nadpis5Char"/>
    <w:qFormat/>
    <w:rsid w:val="00033EC2"/>
    <w:pPr>
      <w:overflowPunct w:val="0"/>
      <w:autoSpaceDE w:val="0"/>
      <w:autoSpaceDN w:val="0"/>
      <w:adjustRightInd w:val="0"/>
      <w:spacing w:before="240" w:after="60" w:line="240" w:lineRule="auto"/>
      <w:textAlignment w:val="baseline"/>
      <w:outlineLvl w:val="4"/>
    </w:pPr>
    <w:rPr>
      <w:rFonts w:eastAsia="Times New Roman"/>
      <w:b/>
      <w:bCs/>
      <w:i/>
      <w:iCs/>
      <w:sz w:val="26"/>
      <w:szCs w:val="26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5Char">
    <w:name w:val="Nadpis 5 Char"/>
    <w:basedOn w:val="Standardnpsmoodstavce"/>
    <w:link w:val="Nadpis5"/>
    <w:rsid w:val="00033EC2"/>
    <w:rPr>
      <w:rFonts w:ascii="Calibri" w:eastAsia="Times New Roman" w:hAnsi="Calibri" w:cs="Times New Roman"/>
      <w:b/>
      <w:bCs/>
      <w:i/>
      <w:iCs/>
      <w:sz w:val="26"/>
      <w:szCs w:val="26"/>
      <w:lang w:val="x-none" w:eastAsia="x-none"/>
    </w:rPr>
  </w:style>
  <w:style w:type="paragraph" w:styleId="Odstavecseseznamem">
    <w:name w:val="List Paragraph"/>
    <w:basedOn w:val="Normln"/>
    <w:uiPriority w:val="34"/>
    <w:qFormat/>
    <w:rsid w:val="00033EC2"/>
    <w:pPr>
      <w:ind w:left="720"/>
      <w:contextualSpacing/>
    </w:pPr>
  </w:style>
  <w:style w:type="paragraph" w:styleId="Zpat">
    <w:name w:val="footer"/>
    <w:basedOn w:val="Normln"/>
    <w:link w:val="ZpatChar"/>
    <w:uiPriority w:val="99"/>
    <w:unhideWhenUsed/>
    <w:rsid w:val="00033EC2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 w:eastAsia="x-none"/>
    </w:rPr>
  </w:style>
  <w:style w:type="character" w:customStyle="1" w:styleId="ZpatChar">
    <w:name w:val="Zápatí Char"/>
    <w:basedOn w:val="Standardnpsmoodstavce"/>
    <w:link w:val="Zpat"/>
    <w:uiPriority w:val="99"/>
    <w:rsid w:val="00033EC2"/>
    <w:rPr>
      <w:rFonts w:ascii="Calibri" w:eastAsia="Calibri" w:hAnsi="Calibri" w:cs="Times New Roman"/>
      <w:sz w:val="20"/>
      <w:szCs w:val="20"/>
      <w:lang w:val="x-none" w:eastAsia="x-none"/>
    </w:rPr>
  </w:style>
  <w:style w:type="paragraph" w:styleId="Nzev">
    <w:name w:val="Title"/>
    <w:basedOn w:val="Normln"/>
    <w:next w:val="Normln"/>
    <w:link w:val="NzevChar"/>
    <w:uiPriority w:val="10"/>
    <w:qFormat/>
    <w:rsid w:val="00033EC2"/>
    <w:pPr>
      <w:spacing w:before="240" w:after="60"/>
      <w:jc w:val="center"/>
      <w:outlineLvl w:val="0"/>
    </w:pPr>
    <w:rPr>
      <w:rFonts w:ascii="Cambria" w:eastAsia="Times New Roman" w:hAnsi="Cambria"/>
      <w:b/>
      <w:bCs/>
      <w:kern w:val="28"/>
      <w:sz w:val="32"/>
      <w:szCs w:val="32"/>
      <w:lang w:val="x-none"/>
    </w:rPr>
  </w:style>
  <w:style w:type="character" w:customStyle="1" w:styleId="NzevChar">
    <w:name w:val="Název Char"/>
    <w:basedOn w:val="Standardnpsmoodstavce"/>
    <w:link w:val="Nzev"/>
    <w:uiPriority w:val="10"/>
    <w:rsid w:val="00033EC2"/>
    <w:rPr>
      <w:rFonts w:ascii="Cambria" w:eastAsia="Times New Roman" w:hAnsi="Cambria" w:cs="Times New Roman"/>
      <w:b/>
      <w:bCs/>
      <w:kern w:val="28"/>
      <w:sz w:val="32"/>
      <w:szCs w:val="32"/>
      <w:lang w:val="x-none"/>
    </w:rPr>
  </w:style>
  <w:style w:type="paragraph" w:customStyle="1" w:styleId="Default">
    <w:name w:val="Default"/>
    <w:rsid w:val="00033EC2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cs-CZ"/>
    </w:rPr>
  </w:style>
  <w:style w:type="paragraph" w:customStyle="1" w:styleId="2nesltext">
    <w:name w:val="2nečísl.text"/>
    <w:basedOn w:val="Normln"/>
    <w:qFormat/>
    <w:rsid w:val="00033EC2"/>
    <w:pPr>
      <w:spacing w:before="240" w:after="240" w:line="240" w:lineRule="auto"/>
      <w:jc w:val="both"/>
    </w:pPr>
  </w:style>
  <w:style w:type="paragraph" w:styleId="Zhlav">
    <w:name w:val="header"/>
    <w:basedOn w:val="Normln"/>
    <w:link w:val="ZhlavChar"/>
    <w:unhideWhenUsed/>
    <w:rsid w:val="00033EC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033EC2"/>
    <w:rPr>
      <w:rFonts w:ascii="Calibri" w:eastAsia="Calibri" w:hAnsi="Calibri" w:cs="Times New Roman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AA42F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A42F6"/>
    <w:rPr>
      <w:rFonts w:ascii="Tahoma" w:eastAsia="Calibri" w:hAnsi="Tahoma" w:cs="Tahoma"/>
      <w:sz w:val="16"/>
      <w:szCs w:val="16"/>
    </w:rPr>
  </w:style>
  <w:style w:type="paragraph" w:customStyle="1" w:styleId="3">
    <w:name w:val="3"/>
    <w:basedOn w:val="Normln"/>
    <w:autoRedefine/>
    <w:rsid w:val="002715B4"/>
    <w:pPr>
      <w:overflowPunct w:val="0"/>
      <w:autoSpaceDE w:val="0"/>
      <w:autoSpaceDN w:val="0"/>
      <w:adjustRightInd w:val="0"/>
      <w:spacing w:before="240" w:after="120" w:line="240" w:lineRule="auto"/>
      <w:jc w:val="both"/>
      <w:textAlignment w:val="baseline"/>
    </w:pPr>
    <w:rPr>
      <w:rFonts w:ascii="Times New Roman" w:eastAsia="Times New Roman" w:hAnsi="Times New Roman"/>
      <w:bCs/>
      <w:sz w:val="24"/>
      <w:szCs w:val="24"/>
      <w:lang w:eastAsia="cs-CZ"/>
    </w:rPr>
  </w:style>
  <w:style w:type="paragraph" w:styleId="Zkladntext">
    <w:name w:val="Body Text"/>
    <w:basedOn w:val="Normln"/>
    <w:link w:val="ZkladntextChar"/>
    <w:rsid w:val="002715B4"/>
    <w:pPr>
      <w:overflowPunct w:val="0"/>
      <w:autoSpaceDE w:val="0"/>
      <w:autoSpaceDN w:val="0"/>
      <w:adjustRightInd w:val="0"/>
      <w:spacing w:after="120" w:line="240" w:lineRule="auto"/>
      <w:jc w:val="both"/>
      <w:textAlignment w:val="baseline"/>
    </w:pPr>
    <w:rPr>
      <w:rFonts w:ascii="Times New Roman" w:eastAsia="Times New Roman" w:hAnsi="Times New Roman"/>
      <w:sz w:val="24"/>
      <w:szCs w:val="24"/>
      <w:lang w:eastAsia="cs-CZ"/>
    </w:rPr>
  </w:style>
  <w:style w:type="character" w:customStyle="1" w:styleId="ZkladntextChar">
    <w:name w:val="Základní text Char"/>
    <w:basedOn w:val="Standardnpsmoodstavce"/>
    <w:link w:val="Zkladntext"/>
    <w:rsid w:val="002715B4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Zkladntextodsazen21">
    <w:name w:val="Základní text odsazený 21"/>
    <w:basedOn w:val="Normln"/>
    <w:rsid w:val="002715B4"/>
    <w:pPr>
      <w:suppressAutoHyphens/>
      <w:spacing w:after="0" w:line="240" w:lineRule="auto"/>
      <w:ind w:left="397" w:hanging="397"/>
      <w:jc w:val="both"/>
    </w:pPr>
    <w:rPr>
      <w:rFonts w:ascii="Times New Roman" w:eastAsia="Times New Roman" w:hAnsi="Times New Roman"/>
      <w:sz w:val="24"/>
      <w:szCs w:val="20"/>
      <w:lang w:eastAsia="ar-SA"/>
    </w:rPr>
  </w:style>
  <w:style w:type="table" w:styleId="Mkatabulky">
    <w:name w:val="Table Grid"/>
    <w:basedOn w:val="Normlntabulka"/>
    <w:uiPriority w:val="59"/>
    <w:rsid w:val="0095682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textovodkaz">
    <w:name w:val="Hyperlink"/>
    <w:rsid w:val="005E65B7"/>
    <w:rPr>
      <w:color w:val="0000FF"/>
      <w:u w:val="single"/>
    </w:rPr>
  </w:style>
  <w:style w:type="paragraph" w:styleId="Normlnweb">
    <w:name w:val="Normal (Web)"/>
    <w:basedOn w:val="Normln"/>
    <w:uiPriority w:val="99"/>
    <w:unhideWhenUsed/>
    <w:rsid w:val="006C3F4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03204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14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08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37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xc4.cz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BAB905-D15E-4959-BDF7-CB055C09F7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140</TotalTime>
  <Pages>7</Pages>
  <Words>2362</Words>
  <Characters>13938</Characters>
  <Application>Microsoft Office Word</Application>
  <DocSecurity>0</DocSecurity>
  <Lines>116</Lines>
  <Paragraphs>32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16268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kostelecka</dc:creator>
  <cp:lastModifiedBy>Janoušková Alena</cp:lastModifiedBy>
  <cp:revision>49</cp:revision>
  <cp:lastPrinted>2024-04-18T12:32:00Z</cp:lastPrinted>
  <dcterms:created xsi:type="dcterms:W3CDTF">2024-07-19T07:39:00Z</dcterms:created>
  <dcterms:modified xsi:type="dcterms:W3CDTF">2025-11-07T11:23:00Z</dcterms:modified>
</cp:coreProperties>
</file>